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1DF6" w14:textId="5111403E" w:rsidR="00E2645A" w:rsidRPr="00D6016D" w:rsidRDefault="00DC4261" w:rsidP="00DC4261">
      <w:pPr>
        <w:jc w:val="both"/>
        <w:rPr>
          <w:b/>
          <w:bCs/>
        </w:rPr>
      </w:pPr>
      <w:r w:rsidRPr="00D6016D">
        <w:rPr>
          <w:b/>
          <w:bCs/>
        </w:rPr>
        <w:t>OBRAZLOŽITVE RAZLIK V PREDLOGU PRORAČUNA ZA LETO 2024 MED PRVO IN DRUGO OBRAVNAVO</w:t>
      </w:r>
    </w:p>
    <w:p w14:paraId="5E06F86E" w14:textId="77777777" w:rsidR="00DC4261" w:rsidRDefault="00DC4261"/>
    <w:p w14:paraId="52A5A4C1" w14:textId="26E675B4" w:rsidR="00DC4261" w:rsidRDefault="00DC4261">
      <w:r>
        <w:t xml:space="preserve">Prva obravnava proračuna za leto 2024 </w:t>
      </w:r>
      <w:r w:rsidR="0045224E">
        <w:t xml:space="preserve"> </w:t>
      </w:r>
      <w:r>
        <w:t>je bila 19.12.2023 na 8. redni seji OS.</w:t>
      </w:r>
    </w:p>
    <w:p w14:paraId="2274CA92" w14:textId="2E7897B0" w:rsidR="00DC4261" w:rsidRDefault="00DC4261" w:rsidP="00DC4261">
      <w:pPr>
        <w:jc w:val="both"/>
      </w:pPr>
      <w:r>
        <w:t xml:space="preserve">Na sami seji predstavitve predloga proračuna so bile dane določene pripombe in predlogi s strani svetnikov.  V času desetih dni po opravljeni obravnavi </w:t>
      </w:r>
      <w:r w:rsidR="00B44277">
        <w:t xml:space="preserve">s strani svetnikov </w:t>
      </w:r>
      <w:r>
        <w:t>pa ni bilo</w:t>
      </w:r>
      <w:r w:rsidR="00A357BC">
        <w:t xml:space="preserve"> podanih</w:t>
      </w:r>
      <w:r>
        <w:t xml:space="preserve"> nobenih pisnih pripomb in predlogov.</w:t>
      </w:r>
      <w:r w:rsidR="00A357BC">
        <w:t xml:space="preserve">  </w:t>
      </w:r>
    </w:p>
    <w:p w14:paraId="17B90965" w14:textId="3FEAAE30" w:rsidR="00DC4261" w:rsidRDefault="00DC4261" w:rsidP="00DC4261">
      <w:pPr>
        <w:jc w:val="both"/>
      </w:pPr>
      <w:r>
        <w:t>Župan se je do vloženih pripomb in predlogov opredelil</w:t>
      </w:r>
      <w:r w:rsidR="00A357BC">
        <w:t xml:space="preserve">, </w:t>
      </w:r>
      <w:r>
        <w:t>ter pripravil dopolnjen predlog proračuna</w:t>
      </w:r>
      <w:r w:rsidR="00B44277">
        <w:t xml:space="preserve"> pri katerem je upošteval ravnovesje med prihodki in odhodki</w:t>
      </w:r>
      <w:r w:rsidR="006F7869">
        <w:t>,</w:t>
      </w:r>
      <w:r w:rsidR="00B44277">
        <w:t xml:space="preserve"> vse nove podatke, ki jih je pridobil v času od splošne razprave proračuna</w:t>
      </w:r>
      <w:r w:rsidR="00D80C23">
        <w:t>, mnenja odborov in komisij</w:t>
      </w:r>
      <w:r w:rsidR="006F7869">
        <w:t xml:space="preserve"> ter realizacijo proračuna za leto 2023.</w:t>
      </w:r>
      <w:r w:rsidR="00235F44">
        <w:t xml:space="preserve"> Pripombe, ki so bile dane na seji niso upoštevale pravila ravnovesja med proračunskimi prihodki in odhodki zato jih v dopolnjenem predlogu ni bilo možno v celoti upoštevati.</w:t>
      </w:r>
    </w:p>
    <w:p w14:paraId="42FDBA10" w14:textId="17E3555E" w:rsidR="00A357BC" w:rsidRDefault="00A357BC" w:rsidP="00DC4261">
      <w:pPr>
        <w:jc w:val="both"/>
      </w:pPr>
      <w:r>
        <w:t>V dopolnjenem predlogu proračuna so bile pri prihodkih in odhodkih upoštevane predvsem:</w:t>
      </w:r>
    </w:p>
    <w:p w14:paraId="73922427" w14:textId="243358D6" w:rsidR="00A357BC" w:rsidRDefault="004908BC" w:rsidP="00A357BC">
      <w:pPr>
        <w:pStyle w:val="Odstavekseznama"/>
        <w:numPr>
          <w:ilvl w:val="0"/>
          <w:numId w:val="1"/>
        </w:numPr>
        <w:jc w:val="both"/>
      </w:pPr>
      <w:r>
        <w:t xml:space="preserve">Uskladitev stanja na TRR 31.12.2023 in s tem povečanje prenosa sredstev v leto 2024 </w:t>
      </w:r>
    </w:p>
    <w:p w14:paraId="5D8B4A88" w14:textId="3F2DE8A6" w:rsidR="004908BC" w:rsidRDefault="004908BC" w:rsidP="00A357BC">
      <w:pPr>
        <w:pStyle w:val="Odstavekseznama"/>
        <w:numPr>
          <w:ilvl w:val="0"/>
          <w:numId w:val="1"/>
        </w:numPr>
        <w:jc w:val="both"/>
      </w:pPr>
      <w:r>
        <w:t>Uskladitev realizacije krajevnih skupnosti v letu 2023, stanja na TRR-jih na dan 31.12.2023 ter na osnovi tega načrtovanje prihodkov in odhodkov v letu 2024</w:t>
      </w:r>
    </w:p>
    <w:p w14:paraId="6DFDDDAB" w14:textId="6254DCC9" w:rsidR="004908BC" w:rsidRDefault="004908BC" w:rsidP="00A357BC">
      <w:pPr>
        <w:pStyle w:val="Odstavekseznama"/>
        <w:numPr>
          <w:ilvl w:val="0"/>
          <w:numId w:val="1"/>
        </w:numPr>
        <w:jc w:val="both"/>
      </w:pPr>
      <w:r>
        <w:t>Na osnovi novih podatkov o razpisih in možnosti sofinanciranja izvedbe investicij s strani države so bile določene postavke na novo vnesene v predlog, tako na prihodkovni kot odhodkovni strani</w:t>
      </w:r>
    </w:p>
    <w:p w14:paraId="243FE31B" w14:textId="622C89BD" w:rsidR="00B44277" w:rsidRDefault="00B44277" w:rsidP="00A357BC">
      <w:pPr>
        <w:pStyle w:val="Odstavekseznama"/>
        <w:numPr>
          <w:ilvl w:val="0"/>
          <w:numId w:val="1"/>
        </w:numPr>
        <w:jc w:val="both"/>
      </w:pPr>
      <w:r>
        <w:t>Uravnoteženost proračuna</w:t>
      </w:r>
    </w:p>
    <w:p w14:paraId="5A86D381" w14:textId="6D29320F" w:rsidR="004908BC" w:rsidRPr="00E54884" w:rsidRDefault="004908BC" w:rsidP="004908BC">
      <w:pPr>
        <w:jc w:val="both"/>
        <w:rPr>
          <w:b/>
          <w:bCs/>
        </w:rPr>
      </w:pPr>
      <w:r w:rsidRPr="00E54884">
        <w:rPr>
          <w:b/>
          <w:bCs/>
        </w:rPr>
        <w:t>PRIHODKI</w:t>
      </w:r>
      <w:r w:rsidR="005F2553" w:rsidRPr="00E54884">
        <w:rPr>
          <w:b/>
          <w:bCs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4105"/>
      </w:tblGrid>
      <w:tr w:rsidR="005F2553" w:rsidRPr="005F2553" w14:paraId="2857D54D" w14:textId="77777777" w:rsidTr="00842257">
        <w:tc>
          <w:tcPr>
            <w:tcW w:w="3539" w:type="dxa"/>
          </w:tcPr>
          <w:p w14:paraId="38CE0127" w14:textId="049A4CDE" w:rsidR="005F2553" w:rsidRPr="005F2553" w:rsidRDefault="005F2553" w:rsidP="005F2553">
            <w:pPr>
              <w:jc w:val="center"/>
              <w:rPr>
                <w:b/>
                <w:bCs/>
              </w:rPr>
            </w:pPr>
            <w:r w:rsidRPr="005F2553">
              <w:rPr>
                <w:b/>
                <w:bCs/>
              </w:rPr>
              <w:t>Konto</w:t>
            </w:r>
          </w:p>
        </w:tc>
        <w:tc>
          <w:tcPr>
            <w:tcW w:w="1418" w:type="dxa"/>
          </w:tcPr>
          <w:p w14:paraId="520F0424" w14:textId="1B5F1F6C" w:rsidR="005F2553" w:rsidRPr="005F2553" w:rsidRDefault="005F2553" w:rsidP="005F2553">
            <w:pPr>
              <w:jc w:val="center"/>
              <w:rPr>
                <w:b/>
                <w:bCs/>
              </w:rPr>
            </w:pPr>
            <w:r w:rsidRPr="005F2553">
              <w:rPr>
                <w:b/>
                <w:bCs/>
              </w:rPr>
              <w:t>Razlika</w:t>
            </w:r>
          </w:p>
        </w:tc>
        <w:tc>
          <w:tcPr>
            <w:tcW w:w="4105" w:type="dxa"/>
          </w:tcPr>
          <w:p w14:paraId="251EC427" w14:textId="13714EAF" w:rsidR="005F2553" w:rsidRPr="005F2553" w:rsidRDefault="005F2553" w:rsidP="005F2553">
            <w:pPr>
              <w:jc w:val="center"/>
              <w:rPr>
                <w:b/>
                <w:bCs/>
              </w:rPr>
            </w:pPr>
            <w:r w:rsidRPr="005F2553">
              <w:rPr>
                <w:b/>
                <w:bCs/>
              </w:rPr>
              <w:t>Obrazložitev</w:t>
            </w:r>
          </w:p>
        </w:tc>
      </w:tr>
      <w:tr w:rsidR="005F2553" w14:paraId="6CCEA2AE" w14:textId="77777777" w:rsidTr="00842257">
        <w:tc>
          <w:tcPr>
            <w:tcW w:w="3539" w:type="dxa"/>
          </w:tcPr>
          <w:p w14:paraId="5675FAFF" w14:textId="6758EBDB" w:rsidR="005F2553" w:rsidRDefault="005F2553" w:rsidP="004908BC">
            <w:pPr>
              <w:jc w:val="both"/>
            </w:pPr>
            <w:r>
              <w:t>7030-Davki na nepremičnine</w:t>
            </w:r>
          </w:p>
        </w:tc>
        <w:tc>
          <w:tcPr>
            <w:tcW w:w="1418" w:type="dxa"/>
          </w:tcPr>
          <w:p w14:paraId="072AE7F3" w14:textId="7CE456D4" w:rsidR="005F2553" w:rsidRDefault="005F2553" w:rsidP="004908BC">
            <w:pPr>
              <w:jc w:val="both"/>
            </w:pPr>
            <w:r>
              <w:t>+ 400 €</w:t>
            </w:r>
          </w:p>
        </w:tc>
        <w:tc>
          <w:tcPr>
            <w:tcW w:w="4105" w:type="dxa"/>
          </w:tcPr>
          <w:p w14:paraId="14110A8E" w14:textId="6E8670DC" w:rsidR="005F2553" w:rsidRDefault="005F2553" w:rsidP="004908BC">
            <w:pPr>
              <w:jc w:val="both"/>
            </w:pPr>
            <w:r>
              <w:t>Uskladitev z realizacijo leta 2023</w:t>
            </w:r>
          </w:p>
        </w:tc>
      </w:tr>
      <w:tr w:rsidR="005F2553" w14:paraId="18C6491F" w14:textId="77777777" w:rsidTr="00842257">
        <w:tc>
          <w:tcPr>
            <w:tcW w:w="3539" w:type="dxa"/>
          </w:tcPr>
          <w:p w14:paraId="4C9EA93D" w14:textId="1987D271" w:rsidR="005F2553" w:rsidRDefault="005F2553" w:rsidP="005F2553">
            <w:pPr>
              <w:jc w:val="both"/>
            </w:pPr>
            <w:r>
              <w:t>7033 – Davki na promet nepremičnin in na finančno premoženje</w:t>
            </w:r>
          </w:p>
        </w:tc>
        <w:tc>
          <w:tcPr>
            <w:tcW w:w="1418" w:type="dxa"/>
          </w:tcPr>
          <w:p w14:paraId="7DCF60D3" w14:textId="4729A7E0" w:rsidR="005F2553" w:rsidRDefault="005F2553" w:rsidP="005F2553">
            <w:pPr>
              <w:jc w:val="both"/>
            </w:pPr>
            <w:r>
              <w:t>+ 2.700 €</w:t>
            </w:r>
          </w:p>
        </w:tc>
        <w:tc>
          <w:tcPr>
            <w:tcW w:w="4105" w:type="dxa"/>
          </w:tcPr>
          <w:p w14:paraId="17C26C6D" w14:textId="52C7B445" w:rsidR="005F2553" w:rsidRDefault="005F2553" w:rsidP="005F2553">
            <w:pPr>
              <w:jc w:val="both"/>
            </w:pPr>
            <w:r>
              <w:t>Uskladitev z realizacijo leta 2023</w:t>
            </w:r>
          </w:p>
        </w:tc>
      </w:tr>
      <w:tr w:rsidR="005F2553" w14:paraId="79CAC622" w14:textId="77777777" w:rsidTr="00842257">
        <w:tc>
          <w:tcPr>
            <w:tcW w:w="3539" w:type="dxa"/>
          </w:tcPr>
          <w:p w14:paraId="09EFF498" w14:textId="243696E0" w:rsidR="005F2553" w:rsidRDefault="005F2553" w:rsidP="005F2553">
            <w:pPr>
              <w:jc w:val="both"/>
            </w:pPr>
            <w:r>
              <w:t>7060 – Drugi davki in prispevki</w:t>
            </w:r>
          </w:p>
        </w:tc>
        <w:tc>
          <w:tcPr>
            <w:tcW w:w="1418" w:type="dxa"/>
          </w:tcPr>
          <w:p w14:paraId="558725E3" w14:textId="2590D140" w:rsidR="005F2553" w:rsidRDefault="005F2553" w:rsidP="005F2553">
            <w:pPr>
              <w:jc w:val="both"/>
            </w:pPr>
            <w:r>
              <w:t>-1.000 €</w:t>
            </w:r>
          </w:p>
        </w:tc>
        <w:tc>
          <w:tcPr>
            <w:tcW w:w="4105" w:type="dxa"/>
          </w:tcPr>
          <w:p w14:paraId="3CC557EC" w14:textId="795FFDDB" w:rsidR="005F2553" w:rsidRDefault="005F2553" w:rsidP="005F2553">
            <w:pPr>
              <w:jc w:val="both"/>
            </w:pPr>
            <w:r>
              <w:t>Uskladitev z realizacijo leta 2023</w:t>
            </w:r>
          </w:p>
        </w:tc>
      </w:tr>
      <w:tr w:rsidR="005F2553" w14:paraId="413A9654" w14:textId="77777777" w:rsidTr="00842257">
        <w:tc>
          <w:tcPr>
            <w:tcW w:w="3539" w:type="dxa"/>
          </w:tcPr>
          <w:p w14:paraId="731FF88A" w14:textId="7166FD54" w:rsidR="005F2553" w:rsidRDefault="005F2553" w:rsidP="005F2553">
            <w:pPr>
              <w:jc w:val="both"/>
            </w:pPr>
            <w:r>
              <w:t>7103-Prihodki od premoženja</w:t>
            </w:r>
          </w:p>
        </w:tc>
        <w:tc>
          <w:tcPr>
            <w:tcW w:w="1418" w:type="dxa"/>
          </w:tcPr>
          <w:p w14:paraId="2C8EBF71" w14:textId="7D4F4D98" w:rsidR="005F2553" w:rsidRDefault="005F2553" w:rsidP="005F2553">
            <w:pPr>
              <w:jc w:val="both"/>
            </w:pPr>
            <w:r>
              <w:t>+19.700 €</w:t>
            </w:r>
          </w:p>
        </w:tc>
        <w:tc>
          <w:tcPr>
            <w:tcW w:w="4105" w:type="dxa"/>
          </w:tcPr>
          <w:p w14:paraId="7B532EE2" w14:textId="41B0FA65" w:rsidR="005F2553" w:rsidRDefault="005F2553" w:rsidP="005F2553">
            <w:pPr>
              <w:jc w:val="both"/>
            </w:pPr>
            <w:r>
              <w:t>Uskladitev z realizacijo leta 2023 in realizacijo KS</w:t>
            </w:r>
          </w:p>
        </w:tc>
      </w:tr>
      <w:tr w:rsidR="005F2553" w14:paraId="2D27DB7D" w14:textId="77777777" w:rsidTr="00842257">
        <w:tc>
          <w:tcPr>
            <w:tcW w:w="3539" w:type="dxa"/>
          </w:tcPr>
          <w:p w14:paraId="7FA5E2AA" w14:textId="6757B0A4" w:rsidR="005F2553" w:rsidRDefault="005F2553" w:rsidP="005F2553">
            <w:pPr>
              <w:jc w:val="both"/>
            </w:pPr>
            <w:r>
              <w:t>7130 - Prihodki od prodaje blaga in storitev</w:t>
            </w:r>
          </w:p>
        </w:tc>
        <w:tc>
          <w:tcPr>
            <w:tcW w:w="1418" w:type="dxa"/>
          </w:tcPr>
          <w:p w14:paraId="19F57EE8" w14:textId="70F69178" w:rsidR="005F2553" w:rsidRDefault="005F2553" w:rsidP="005F2553">
            <w:pPr>
              <w:jc w:val="both"/>
            </w:pPr>
            <w:r>
              <w:t>+ 2.500 €</w:t>
            </w:r>
          </w:p>
        </w:tc>
        <w:tc>
          <w:tcPr>
            <w:tcW w:w="4105" w:type="dxa"/>
          </w:tcPr>
          <w:p w14:paraId="7A125A87" w14:textId="5E63B1F4" w:rsidR="005F2553" w:rsidRDefault="005F2553" w:rsidP="005F2553">
            <w:pPr>
              <w:jc w:val="both"/>
            </w:pPr>
            <w:r>
              <w:t>Uskladitev z realizacijo KS</w:t>
            </w:r>
          </w:p>
        </w:tc>
      </w:tr>
      <w:tr w:rsidR="005F2553" w14:paraId="217855D4" w14:textId="77777777" w:rsidTr="00842257">
        <w:tc>
          <w:tcPr>
            <w:tcW w:w="3539" w:type="dxa"/>
          </w:tcPr>
          <w:p w14:paraId="6D1C1A5B" w14:textId="3B145A25" w:rsidR="005F2553" w:rsidRDefault="005F2553" w:rsidP="005F2553">
            <w:pPr>
              <w:jc w:val="both"/>
            </w:pPr>
            <w:r>
              <w:t>7202 – Prihodki od prodaje opreme</w:t>
            </w:r>
          </w:p>
        </w:tc>
        <w:tc>
          <w:tcPr>
            <w:tcW w:w="1418" w:type="dxa"/>
          </w:tcPr>
          <w:p w14:paraId="6A2C0DFE" w14:textId="78784BA4" w:rsidR="005F2553" w:rsidRDefault="005F2553" w:rsidP="005F2553">
            <w:pPr>
              <w:jc w:val="both"/>
            </w:pPr>
            <w:r>
              <w:t>+220 €</w:t>
            </w:r>
          </w:p>
        </w:tc>
        <w:tc>
          <w:tcPr>
            <w:tcW w:w="4105" w:type="dxa"/>
          </w:tcPr>
          <w:p w14:paraId="3721A9B5" w14:textId="1515746A" w:rsidR="005F2553" w:rsidRDefault="005F2553" w:rsidP="005F2553">
            <w:pPr>
              <w:jc w:val="both"/>
            </w:pPr>
            <w:r>
              <w:t>Uskladitev z realizacijo KS</w:t>
            </w:r>
          </w:p>
        </w:tc>
      </w:tr>
      <w:tr w:rsidR="005F2553" w14:paraId="3926429F" w14:textId="77777777" w:rsidTr="00842257">
        <w:tc>
          <w:tcPr>
            <w:tcW w:w="3539" w:type="dxa"/>
          </w:tcPr>
          <w:p w14:paraId="20816E06" w14:textId="0010216F" w:rsidR="005F2553" w:rsidRDefault="003462A4" w:rsidP="005F2553">
            <w:pPr>
              <w:jc w:val="both"/>
            </w:pPr>
            <w:r>
              <w:t>7400-prejeta sredstva iz državnega proračuna</w:t>
            </w:r>
          </w:p>
        </w:tc>
        <w:tc>
          <w:tcPr>
            <w:tcW w:w="1418" w:type="dxa"/>
          </w:tcPr>
          <w:p w14:paraId="2066A503" w14:textId="3C7ED415" w:rsidR="005F2553" w:rsidRDefault="003462A4" w:rsidP="005F2553">
            <w:pPr>
              <w:jc w:val="both"/>
            </w:pPr>
            <w:r>
              <w:t>+410.037 €</w:t>
            </w:r>
          </w:p>
        </w:tc>
        <w:tc>
          <w:tcPr>
            <w:tcW w:w="4105" w:type="dxa"/>
          </w:tcPr>
          <w:p w14:paraId="1CD52CD9" w14:textId="736A380E" w:rsidR="005F2553" w:rsidRDefault="003462A4" w:rsidP="005F2553">
            <w:pPr>
              <w:jc w:val="both"/>
            </w:pPr>
            <w:r>
              <w:t>Novi podatki o razpisu MKGP v začetku leta 2024 – enak znesek načrtovan na odhodkovni strani</w:t>
            </w:r>
          </w:p>
        </w:tc>
      </w:tr>
      <w:tr w:rsidR="0045224E" w14:paraId="32F17BAC" w14:textId="77777777" w:rsidTr="00842257">
        <w:tc>
          <w:tcPr>
            <w:tcW w:w="3539" w:type="dxa"/>
          </w:tcPr>
          <w:p w14:paraId="0BD693AC" w14:textId="2938A1B4" w:rsidR="0045224E" w:rsidRDefault="0045224E" w:rsidP="005F2553">
            <w:pPr>
              <w:jc w:val="both"/>
            </w:pPr>
          </w:p>
        </w:tc>
        <w:tc>
          <w:tcPr>
            <w:tcW w:w="1418" w:type="dxa"/>
          </w:tcPr>
          <w:p w14:paraId="41EBF305" w14:textId="77777777" w:rsidR="0045224E" w:rsidRDefault="0045224E" w:rsidP="005F2553">
            <w:pPr>
              <w:jc w:val="both"/>
            </w:pPr>
          </w:p>
        </w:tc>
        <w:tc>
          <w:tcPr>
            <w:tcW w:w="4105" w:type="dxa"/>
          </w:tcPr>
          <w:p w14:paraId="13D6CFE0" w14:textId="77777777" w:rsidR="0045224E" w:rsidRDefault="0045224E" w:rsidP="005F2553">
            <w:pPr>
              <w:jc w:val="both"/>
            </w:pPr>
          </w:p>
        </w:tc>
      </w:tr>
    </w:tbl>
    <w:p w14:paraId="0CF5294C" w14:textId="77777777" w:rsidR="0008532F" w:rsidRDefault="0008532F" w:rsidP="004908BC">
      <w:pPr>
        <w:jc w:val="both"/>
      </w:pPr>
    </w:p>
    <w:p w14:paraId="3A02AC17" w14:textId="77777777" w:rsidR="00476560" w:rsidRDefault="00476560" w:rsidP="004908BC">
      <w:pPr>
        <w:jc w:val="both"/>
      </w:pPr>
    </w:p>
    <w:p w14:paraId="353D2DC0" w14:textId="77777777" w:rsidR="00476560" w:rsidRDefault="00476560" w:rsidP="004908BC">
      <w:pPr>
        <w:jc w:val="both"/>
      </w:pPr>
    </w:p>
    <w:p w14:paraId="2EDEA465" w14:textId="77777777" w:rsidR="00476560" w:rsidRDefault="00476560" w:rsidP="004908BC">
      <w:pPr>
        <w:jc w:val="both"/>
      </w:pPr>
    </w:p>
    <w:p w14:paraId="208E6600" w14:textId="77777777" w:rsidR="00476560" w:rsidRDefault="00476560" w:rsidP="004908BC">
      <w:pPr>
        <w:jc w:val="both"/>
      </w:pPr>
    </w:p>
    <w:p w14:paraId="1C5EB783" w14:textId="77777777" w:rsidR="00476560" w:rsidRDefault="00476560" w:rsidP="004908BC">
      <w:pPr>
        <w:jc w:val="both"/>
      </w:pPr>
    </w:p>
    <w:p w14:paraId="43980179" w14:textId="2FB6635D" w:rsidR="0008532F" w:rsidRPr="00E54884" w:rsidRDefault="0008532F" w:rsidP="0008532F">
      <w:pPr>
        <w:jc w:val="both"/>
        <w:rPr>
          <w:b/>
          <w:bCs/>
        </w:rPr>
      </w:pPr>
      <w:r w:rsidRPr="00E54884">
        <w:rPr>
          <w:b/>
          <w:bCs/>
        </w:rPr>
        <w:t xml:space="preserve">ODHODKI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47"/>
      </w:tblGrid>
      <w:tr w:rsidR="0008532F" w:rsidRPr="005F2553" w14:paraId="73DF47E4" w14:textId="77777777" w:rsidTr="0039030C">
        <w:tc>
          <w:tcPr>
            <w:tcW w:w="3256" w:type="dxa"/>
          </w:tcPr>
          <w:p w14:paraId="2E57E0B0" w14:textId="15F3701E" w:rsidR="0008532F" w:rsidRPr="005F2553" w:rsidRDefault="0008532F" w:rsidP="006970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Proračunska postavka</w:t>
            </w:r>
          </w:p>
        </w:tc>
        <w:tc>
          <w:tcPr>
            <w:tcW w:w="1559" w:type="dxa"/>
          </w:tcPr>
          <w:p w14:paraId="7C5397FA" w14:textId="77777777" w:rsidR="0008532F" w:rsidRPr="005F2553" w:rsidRDefault="0008532F" w:rsidP="00697017">
            <w:pPr>
              <w:jc w:val="center"/>
              <w:rPr>
                <w:b/>
                <w:bCs/>
              </w:rPr>
            </w:pPr>
            <w:r w:rsidRPr="005F2553">
              <w:rPr>
                <w:b/>
                <w:bCs/>
              </w:rPr>
              <w:t>Razlika</w:t>
            </w:r>
          </w:p>
        </w:tc>
        <w:tc>
          <w:tcPr>
            <w:tcW w:w="4247" w:type="dxa"/>
          </w:tcPr>
          <w:p w14:paraId="2DFA3C12" w14:textId="77777777" w:rsidR="0008532F" w:rsidRPr="005F2553" w:rsidRDefault="0008532F" w:rsidP="00697017">
            <w:pPr>
              <w:jc w:val="center"/>
              <w:rPr>
                <w:b/>
                <w:bCs/>
              </w:rPr>
            </w:pPr>
            <w:r w:rsidRPr="005F2553">
              <w:rPr>
                <w:b/>
                <w:bCs/>
              </w:rPr>
              <w:t>Obrazložitev</w:t>
            </w:r>
          </w:p>
        </w:tc>
      </w:tr>
      <w:tr w:rsidR="0008532F" w14:paraId="152E3B7F" w14:textId="77777777" w:rsidTr="0039030C">
        <w:tc>
          <w:tcPr>
            <w:tcW w:w="3256" w:type="dxa"/>
          </w:tcPr>
          <w:p w14:paraId="57D5EF5C" w14:textId="3A33C1F4" w:rsidR="0008532F" w:rsidRDefault="00D7375F" w:rsidP="00697017">
            <w:pPr>
              <w:jc w:val="both"/>
            </w:pPr>
            <w:r>
              <w:t>04003022 Kolesarska dirka po Sloveniji</w:t>
            </w:r>
          </w:p>
        </w:tc>
        <w:tc>
          <w:tcPr>
            <w:tcW w:w="1559" w:type="dxa"/>
          </w:tcPr>
          <w:p w14:paraId="454C8E3D" w14:textId="43998E22" w:rsidR="0008532F" w:rsidRDefault="00D7375F" w:rsidP="00697017">
            <w:pPr>
              <w:jc w:val="both"/>
            </w:pPr>
            <w:r>
              <w:t>+2.830 €</w:t>
            </w:r>
          </w:p>
        </w:tc>
        <w:tc>
          <w:tcPr>
            <w:tcW w:w="4247" w:type="dxa"/>
          </w:tcPr>
          <w:p w14:paraId="24F990A1" w14:textId="5740EAB1" w:rsidR="0008532F" w:rsidRDefault="00D7375F" w:rsidP="00697017">
            <w:pPr>
              <w:jc w:val="both"/>
            </w:pPr>
            <w:r>
              <w:t xml:space="preserve">Pridobljena </w:t>
            </w:r>
            <w:r w:rsidR="00B65E93">
              <w:t xml:space="preserve">uradna </w:t>
            </w:r>
            <w:r>
              <w:t>ponudba s strani organizatorja</w:t>
            </w:r>
          </w:p>
        </w:tc>
      </w:tr>
      <w:tr w:rsidR="007404C2" w14:paraId="3F20365D" w14:textId="77777777" w:rsidTr="0039030C">
        <w:tc>
          <w:tcPr>
            <w:tcW w:w="3256" w:type="dxa"/>
          </w:tcPr>
          <w:p w14:paraId="29AD23CC" w14:textId="7FDAFF69" w:rsidR="007404C2" w:rsidRDefault="007404C2" w:rsidP="007404C2">
            <w:pPr>
              <w:jc w:val="both"/>
            </w:pPr>
            <w:r>
              <w:t xml:space="preserve">04004010 </w:t>
            </w:r>
            <w:r w:rsidRPr="007404C2">
              <w:t>Izvršbe in drugi sodni postopki, pravno zastopanje</w:t>
            </w:r>
          </w:p>
        </w:tc>
        <w:tc>
          <w:tcPr>
            <w:tcW w:w="1559" w:type="dxa"/>
          </w:tcPr>
          <w:p w14:paraId="72430679" w14:textId="245CE0E2" w:rsidR="007404C2" w:rsidRDefault="007404C2" w:rsidP="007404C2">
            <w:pPr>
              <w:jc w:val="both"/>
            </w:pPr>
            <w:r>
              <w:t>+15.000</w:t>
            </w:r>
            <w:r w:rsidR="00FE058A">
              <w:t xml:space="preserve"> </w:t>
            </w:r>
            <w:r>
              <w:t>€</w:t>
            </w:r>
          </w:p>
        </w:tc>
        <w:tc>
          <w:tcPr>
            <w:tcW w:w="4247" w:type="dxa"/>
          </w:tcPr>
          <w:p w14:paraId="105C4719" w14:textId="078CEA51" w:rsidR="007404C2" w:rsidRDefault="007404C2" w:rsidP="007404C2">
            <w:pPr>
              <w:jc w:val="both"/>
            </w:pPr>
            <w:r>
              <w:t>Znesek je usklajen z razsodbo tožbe za Dvorec Vogrsko, ki smo jo prejeli v januarju</w:t>
            </w:r>
          </w:p>
        </w:tc>
      </w:tr>
      <w:tr w:rsidR="007404C2" w14:paraId="077A5606" w14:textId="77777777" w:rsidTr="0039030C">
        <w:tc>
          <w:tcPr>
            <w:tcW w:w="3256" w:type="dxa"/>
          </w:tcPr>
          <w:p w14:paraId="51D27509" w14:textId="4CABD22A" w:rsidR="007404C2" w:rsidRDefault="00FE058A" w:rsidP="007404C2">
            <w:pPr>
              <w:jc w:val="both"/>
            </w:pPr>
            <w:r>
              <w:t>06001021 Skupnost občin Slovenije</w:t>
            </w:r>
          </w:p>
        </w:tc>
        <w:tc>
          <w:tcPr>
            <w:tcW w:w="1559" w:type="dxa"/>
          </w:tcPr>
          <w:p w14:paraId="11E0BFA7" w14:textId="350BE4FF" w:rsidR="007404C2" w:rsidRDefault="00FE058A" w:rsidP="007404C2">
            <w:pPr>
              <w:jc w:val="both"/>
            </w:pPr>
            <w:r>
              <w:t>+900 €</w:t>
            </w:r>
          </w:p>
        </w:tc>
        <w:tc>
          <w:tcPr>
            <w:tcW w:w="4247" w:type="dxa"/>
          </w:tcPr>
          <w:p w14:paraId="762513ED" w14:textId="5A328F5E" w:rsidR="007404C2" w:rsidRDefault="00965F0F" w:rsidP="007404C2">
            <w:pPr>
              <w:jc w:val="both"/>
            </w:pPr>
            <w:r>
              <w:t>Izkazane nove, dodatne potrebe</w:t>
            </w:r>
            <w:r w:rsidR="00B65E93">
              <w:t xml:space="preserve"> s strani OU</w:t>
            </w:r>
          </w:p>
        </w:tc>
      </w:tr>
      <w:tr w:rsidR="007404C2" w14:paraId="6D7506B5" w14:textId="77777777" w:rsidTr="0039030C">
        <w:tc>
          <w:tcPr>
            <w:tcW w:w="3256" w:type="dxa"/>
          </w:tcPr>
          <w:p w14:paraId="7B42DF72" w14:textId="2555C785" w:rsidR="007404C2" w:rsidRDefault="00FE058A" w:rsidP="007404C2">
            <w:pPr>
              <w:jc w:val="both"/>
            </w:pPr>
            <w:r>
              <w:t>06003041 Računovodske storitve za KS-je</w:t>
            </w:r>
          </w:p>
        </w:tc>
        <w:tc>
          <w:tcPr>
            <w:tcW w:w="1559" w:type="dxa"/>
          </w:tcPr>
          <w:p w14:paraId="4F830C41" w14:textId="0C761846" w:rsidR="007404C2" w:rsidRDefault="00FE058A" w:rsidP="007404C2">
            <w:pPr>
              <w:jc w:val="both"/>
            </w:pPr>
            <w:r>
              <w:t>+3.500 €</w:t>
            </w:r>
          </w:p>
        </w:tc>
        <w:tc>
          <w:tcPr>
            <w:tcW w:w="4247" w:type="dxa"/>
          </w:tcPr>
          <w:p w14:paraId="7179EC8E" w14:textId="3D9596E1" w:rsidR="007404C2" w:rsidRDefault="00FE058A" w:rsidP="007404C2">
            <w:pPr>
              <w:jc w:val="both"/>
            </w:pPr>
            <w:r>
              <w:t>Ker izvajalec ni poslal pravočasno e-računov za leto 2023, bodo le-ti zapadli v plačilo šele v letošnjem letu</w:t>
            </w:r>
          </w:p>
        </w:tc>
      </w:tr>
      <w:tr w:rsidR="007404C2" w14:paraId="5702864C" w14:textId="77777777" w:rsidTr="0039030C">
        <w:tc>
          <w:tcPr>
            <w:tcW w:w="3256" w:type="dxa"/>
          </w:tcPr>
          <w:p w14:paraId="3D8F4929" w14:textId="4EE3CD9B" w:rsidR="007404C2" w:rsidRDefault="00FB66C5" w:rsidP="007404C2">
            <w:pPr>
              <w:jc w:val="both"/>
            </w:pPr>
            <w:r>
              <w:t>07001010 – Stroški civilne zaščite</w:t>
            </w:r>
          </w:p>
        </w:tc>
        <w:tc>
          <w:tcPr>
            <w:tcW w:w="1559" w:type="dxa"/>
          </w:tcPr>
          <w:p w14:paraId="3CF68A07" w14:textId="1CB77439" w:rsidR="007404C2" w:rsidRDefault="00FB66C5" w:rsidP="007404C2">
            <w:pPr>
              <w:jc w:val="both"/>
            </w:pPr>
            <w:r>
              <w:t>+ 5.500 €</w:t>
            </w:r>
          </w:p>
        </w:tc>
        <w:tc>
          <w:tcPr>
            <w:tcW w:w="4247" w:type="dxa"/>
          </w:tcPr>
          <w:p w14:paraId="591A0A1B" w14:textId="642F9E6A" w:rsidR="007404C2" w:rsidRDefault="00FB66C5" w:rsidP="007404C2">
            <w:pPr>
              <w:jc w:val="both"/>
            </w:pPr>
            <w:r>
              <w:t>Ker izvajalec ni poslal pravočasno e-računov za leto 2023, bodo le-ti zapadli v plačilo šele v letošnjem letu</w:t>
            </w:r>
          </w:p>
        </w:tc>
      </w:tr>
      <w:tr w:rsidR="007404C2" w14:paraId="0E69B295" w14:textId="77777777" w:rsidTr="0039030C">
        <w:tc>
          <w:tcPr>
            <w:tcW w:w="3256" w:type="dxa"/>
          </w:tcPr>
          <w:p w14:paraId="16E6FF4F" w14:textId="50AA2175" w:rsidR="007404C2" w:rsidRDefault="00965F0F" w:rsidP="007404C2">
            <w:pPr>
              <w:jc w:val="both"/>
            </w:pPr>
            <w:r>
              <w:t>08001010 – Preventiva v cestnem prometu</w:t>
            </w:r>
          </w:p>
        </w:tc>
        <w:tc>
          <w:tcPr>
            <w:tcW w:w="1559" w:type="dxa"/>
          </w:tcPr>
          <w:p w14:paraId="36DD2A2E" w14:textId="4DB3383E" w:rsidR="007404C2" w:rsidRDefault="00965F0F" w:rsidP="007404C2">
            <w:pPr>
              <w:jc w:val="both"/>
            </w:pPr>
            <w:r>
              <w:t>+8.000 €</w:t>
            </w:r>
          </w:p>
        </w:tc>
        <w:tc>
          <w:tcPr>
            <w:tcW w:w="4247" w:type="dxa"/>
          </w:tcPr>
          <w:p w14:paraId="5DA7EE31" w14:textId="19A5AAE7" w:rsidR="007404C2" w:rsidRDefault="00965F0F" w:rsidP="007404C2">
            <w:pPr>
              <w:jc w:val="both"/>
            </w:pPr>
            <w:r>
              <w:t>Izkazane nove, dodatne potrebe</w:t>
            </w:r>
            <w:r w:rsidR="006B194E">
              <w:t xml:space="preserve"> občanov po postavitvi hitrostnih tabel in radarjev</w:t>
            </w:r>
          </w:p>
        </w:tc>
      </w:tr>
      <w:tr w:rsidR="007404C2" w14:paraId="5543FB76" w14:textId="77777777" w:rsidTr="0039030C">
        <w:tc>
          <w:tcPr>
            <w:tcW w:w="3256" w:type="dxa"/>
          </w:tcPr>
          <w:p w14:paraId="322D23F5" w14:textId="70CBA9F7" w:rsidR="009A21B0" w:rsidRPr="009A21B0" w:rsidRDefault="009A21B0" w:rsidP="009A21B0">
            <w:pPr>
              <w:jc w:val="both"/>
            </w:pPr>
            <w:r>
              <w:t xml:space="preserve">11004012 - </w:t>
            </w:r>
            <w:r w:rsidRPr="009A21B0">
              <w:t>Protipožarni ukrepi-gozdne poti</w:t>
            </w:r>
          </w:p>
          <w:p w14:paraId="07F4BD5F" w14:textId="4C4E0DE9" w:rsidR="007404C2" w:rsidRDefault="007404C2" w:rsidP="007404C2">
            <w:pPr>
              <w:jc w:val="both"/>
            </w:pPr>
          </w:p>
        </w:tc>
        <w:tc>
          <w:tcPr>
            <w:tcW w:w="1559" w:type="dxa"/>
          </w:tcPr>
          <w:p w14:paraId="5311A4AD" w14:textId="17E57A27" w:rsidR="007404C2" w:rsidRDefault="009A21B0" w:rsidP="007404C2">
            <w:pPr>
              <w:jc w:val="both"/>
            </w:pPr>
            <w:r>
              <w:t>+200.000 €</w:t>
            </w:r>
          </w:p>
        </w:tc>
        <w:tc>
          <w:tcPr>
            <w:tcW w:w="4247" w:type="dxa"/>
          </w:tcPr>
          <w:p w14:paraId="66E75F68" w14:textId="21198C42" w:rsidR="007404C2" w:rsidRDefault="009A21B0" w:rsidP="007404C2">
            <w:pPr>
              <w:jc w:val="both"/>
            </w:pPr>
            <w:r>
              <w:t>Novi podatki o razpisu MKGP v začetku leta 2024 – enak znesek načrtovan na prihodkovni strani. Za prijavo na razpis je nujno, da imamo v proračunu tudi PP.</w:t>
            </w:r>
          </w:p>
        </w:tc>
      </w:tr>
      <w:tr w:rsidR="007404C2" w14:paraId="2CEEA10D" w14:textId="77777777" w:rsidTr="0039030C">
        <w:tc>
          <w:tcPr>
            <w:tcW w:w="3256" w:type="dxa"/>
          </w:tcPr>
          <w:p w14:paraId="2C12C02D" w14:textId="52340F6A" w:rsidR="007404C2" w:rsidRDefault="00234A67" w:rsidP="007404C2">
            <w:pPr>
              <w:jc w:val="both"/>
            </w:pPr>
            <w:r w:rsidRPr="00234A67">
              <w:t>13001027- Ureditev ceste Vogrsko h.š.179 - 181</w:t>
            </w:r>
          </w:p>
        </w:tc>
        <w:tc>
          <w:tcPr>
            <w:tcW w:w="1559" w:type="dxa"/>
          </w:tcPr>
          <w:p w14:paraId="66633DCF" w14:textId="080480BB" w:rsidR="007404C2" w:rsidRDefault="008F4708" w:rsidP="007404C2">
            <w:pPr>
              <w:jc w:val="both"/>
            </w:pPr>
            <w:r>
              <w:t>+20.000 €</w:t>
            </w:r>
          </w:p>
        </w:tc>
        <w:tc>
          <w:tcPr>
            <w:tcW w:w="4247" w:type="dxa"/>
          </w:tcPr>
          <w:p w14:paraId="084728A3" w14:textId="787C1415" w:rsidR="007404C2" w:rsidRDefault="001C2ED9" w:rsidP="007404C2">
            <w:pPr>
              <w:jc w:val="both"/>
            </w:pPr>
            <w:r>
              <w:t>Pripombe, predlogi svetnikov</w:t>
            </w:r>
          </w:p>
        </w:tc>
      </w:tr>
      <w:tr w:rsidR="00724339" w14:paraId="10BB80A5" w14:textId="77777777" w:rsidTr="0039030C">
        <w:tc>
          <w:tcPr>
            <w:tcW w:w="3256" w:type="dxa"/>
          </w:tcPr>
          <w:p w14:paraId="796207F0" w14:textId="6A680D2D" w:rsidR="00724339" w:rsidRPr="00234A67" w:rsidRDefault="00724339" w:rsidP="00234A67">
            <w:pPr>
              <w:jc w:val="both"/>
            </w:pPr>
            <w:r>
              <w:t>13001018 – Cesta Zmajna</w:t>
            </w:r>
          </w:p>
        </w:tc>
        <w:tc>
          <w:tcPr>
            <w:tcW w:w="1559" w:type="dxa"/>
          </w:tcPr>
          <w:p w14:paraId="40D78DC7" w14:textId="18022E70" w:rsidR="00724339" w:rsidRDefault="00724339" w:rsidP="007404C2">
            <w:pPr>
              <w:jc w:val="both"/>
            </w:pPr>
            <w:r>
              <w:t>+50.000 €</w:t>
            </w:r>
          </w:p>
        </w:tc>
        <w:tc>
          <w:tcPr>
            <w:tcW w:w="4247" w:type="dxa"/>
          </w:tcPr>
          <w:p w14:paraId="72A73565" w14:textId="51748678" w:rsidR="00724339" w:rsidRDefault="001C2ED9" w:rsidP="007404C2">
            <w:pPr>
              <w:jc w:val="both"/>
            </w:pPr>
            <w:r>
              <w:t>Pripombe, predlogi svetnikov</w:t>
            </w:r>
          </w:p>
          <w:p w14:paraId="2866F46B" w14:textId="77777777" w:rsidR="00C4387A" w:rsidRDefault="00C4387A" w:rsidP="007404C2">
            <w:pPr>
              <w:jc w:val="both"/>
            </w:pPr>
          </w:p>
        </w:tc>
      </w:tr>
      <w:tr w:rsidR="00724339" w14:paraId="37B31F44" w14:textId="77777777" w:rsidTr="0039030C">
        <w:tc>
          <w:tcPr>
            <w:tcW w:w="3256" w:type="dxa"/>
          </w:tcPr>
          <w:p w14:paraId="5FE58E73" w14:textId="037A79B5" w:rsidR="00724339" w:rsidRPr="00234A67" w:rsidRDefault="00510F00" w:rsidP="00234A67">
            <w:pPr>
              <w:jc w:val="both"/>
            </w:pPr>
            <w:r>
              <w:t>13001026 – Ureditev Gregorčičeve poti</w:t>
            </w:r>
          </w:p>
        </w:tc>
        <w:tc>
          <w:tcPr>
            <w:tcW w:w="1559" w:type="dxa"/>
          </w:tcPr>
          <w:p w14:paraId="0496B9C8" w14:textId="7170A9B3" w:rsidR="00724339" w:rsidRDefault="00510F00" w:rsidP="007404C2">
            <w:pPr>
              <w:jc w:val="both"/>
            </w:pPr>
            <w:r>
              <w:t>+25.000 €</w:t>
            </w:r>
          </w:p>
        </w:tc>
        <w:tc>
          <w:tcPr>
            <w:tcW w:w="4247" w:type="dxa"/>
          </w:tcPr>
          <w:p w14:paraId="2561E5A1" w14:textId="4EB345DA" w:rsidR="00724339" w:rsidRDefault="001C2ED9" w:rsidP="007404C2">
            <w:pPr>
              <w:jc w:val="both"/>
            </w:pPr>
            <w:r>
              <w:t>Izkazane nove, dodatne potrebe</w:t>
            </w:r>
            <w:r w:rsidR="006B194E">
              <w:t xml:space="preserve"> po prenovi poti za</w:t>
            </w:r>
            <w:r w:rsidR="00E13E19">
              <w:t>radi</w:t>
            </w:r>
            <w:r w:rsidR="006B194E">
              <w:t xml:space="preserve"> zmanjševanj</w:t>
            </w:r>
            <w:r w:rsidR="00E13E19">
              <w:t>a</w:t>
            </w:r>
            <w:r w:rsidR="006B194E">
              <w:t xml:space="preserve"> stroškov tekočega vzdrževanja</w:t>
            </w:r>
          </w:p>
        </w:tc>
      </w:tr>
      <w:tr w:rsidR="00724339" w14:paraId="7FCC6F1F" w14:textId="77777777" w:rsidTr="0039030C">
        <w:tc>
          <w:tcPr>
            <w:tcW w:w="3256" w:type="dxa"/>
          </w:tcPr>
          <w:p w14:paraId="1824AB46" w14:textId="7B71B0B3" w:rsidR="00724339" w:rsidRPr="00234A67" w:rsidRDefault="00F221B9" w:rsidP="00234A67">
            <w:pPr>
              <w:jc w:val="both"/>
            </w:pPr>
            <w:r>
              <w:t>13001023- Pločnik in avtobusna postaja Dombrava</w:t>
            </w:r>
          </w:p>
        </w:tc>
        <w:tc>
          <w:tcPr>
            <w:tcW w:w="1559" w:type="dxa"/>
          </w:tcPr>
          <w:p w14:paraId="51CB4F28" w14:textId="795D4896" w:rsidR="00724339" w:rsidRDefault="00F221B9" w:rsidP="007404C2">
            <w:pPr>
              <w:jc w:val="both"/>
            </w:pPr>
            <w:r>
              <w:t>+ 25.000 €</w:t>
            </w:r>
          </w:p>
        </w:tc>
        <w:tc>
          <w:tcPr>
            <w:tcW w:w="4247" w:type="dxa"/>
          </w:tcPr>
          <w:p w14:paraId="7FA88A3E" w14:textId="7E578454" w:rsidR="00724339" w:rsidRDefault="001C2ED9" w:rsidP="007404C2">
            <w:pPr>
              <w:jc w:val="both"/>
            </w:pPr>
            <w:r>
              <w:t>Pripombe, predlogi svetnikov</w:t>
            </w:r>
          </w:p>
        </w:tc>
      </w:tr>
      <w:tr w:rsidR="00464263" w14:paraId="2E0F246C" w14:textId="77777777" w:rsidTr="0039030C">
        <w:tc>
          <w:tcPr>
            <w:tcW w:w="3256" w:type="dxa"/>
          </w:tcPr>
          <w:p w14:paraId="0A3241BC" w14:textId="14B71A4B" w:rsidR="00464263" w:rsidRDefault="00464263" w:rsidP="00464263">
            <w:pPr>
              <w:jc w:val="both"/>
            </w:pPr>
            <w:r>
              <w:t>14001016 – Kalilnica  idej</w:t>
            </w:r>
          </w:p>
        </w:tc>
        <w:tc>
          <w:tcPr>
            <w:tcW w:w="1559" w:type="dxa"/>
          </w:tcPr>
          <w:p w14:paraId="45106DA3" w14:textId="3A5C2927" w:rsidR="00464263" w:rsidRDefault="00464263" w:rsidP="00464263">
            <w:pPr>
              <w:jc w:val="both"/>
            </w:pPr>
            <w:r>
              <w:t>+ 5.000 €</w:t>
            </w:r>
          </w:p>
        </w:tc>
        <w:tc>
          <w:tcPr>
            <w:tcW w:w="4247" w:type="dxa"/>
          </w:tcPr>
          <w:p w14:paraId="2F6F0C35" w14:textId="77777777" w:rsidR="00464263" w:rsidRDefault="00464263" w:rsidP="00464263">
            <w:pPr>
              <w:jc w:val="both"/>
            </w:pPr>
            <w:r w:rsidRPr="00D70CDE">
              <w:t>Izkazane nove, dodatne potrebe</w:t>
            </w:r>
          </w:p>
          <w:p w14:paraId="224AE3BA" w14:textId="74A2E26C" w:rsidR="00842257" w:rsidRDefault="00842257" w:rsidP="00464263">
            <w:pPr>
              <w:jc w:val="both"/>
            </w:pPr>
          </w:p>
        </w:tc>
      </w:tr>
      <w:tr w:rsidR="00464263" w14:paraId="3D6FEEAD" w14:textId="77777777" w:rsidTr="0039030C">
        <w:tc>
          <w:tcPr>
            <w:tcW w:w="3256" w:type="dxa"/>
          </w:tcPr>
          <w:p w14:paraId="43E955A9" w14:textId="10453986" w:rsidR="00464263" w:rsidRDefault="00464263" w:rsidP="00464263">
            <w:pPr>
              <w:jc w:val="both"/>
            </w:pPr>
            <w:r>
              <w:t>14001017 – Aktivnosti ob reki Vipavi</w:t>
            </w:r>
          </w:p>
        </w:tc>
        <w:tc>
          <w:tcPr>
            <w:tcW w:w="1559" w:type="dxa"/>
          </w:tcPr>
          <w:p w14:paraId="698818B9" w14:textId="6055AC2C" w:rsidR="00464263" w:rsidRDefault="00464263" w:rsidP="00464263">
            <w:pPr>
              <w:jc w:val="both"/>
            </w:pPr>
            <w:r>
              <w:t>+30.000 €</w:t>
            </w:r>
          </w:p>
        </w:tc>
        <w:tc>
          <w:tcPr>
            <w:tcW w:w="4247" w:type="dxa"/>
          </w:tcPr>
          <w:p w14:paraId="2529535D" w14:textId="27D54DA2" w:rsidR="00464263" w:rsidRDefault="00464263" w:rsidP="00464263">
            <w:pPr>
              <w:jc w:val="both"/>
            </w:pPr>
            <w:r w:rsidRPr="00D70CDE">
              <w:t>Izkazane nove, dodatne potrebe</w:t>
            </w:r>
          </w:p>
        </w:tc>
      </w:tr>
      <w:tr w:rsidR="00464263" w14:paraId="54404477" w14:textId="77777777" w:rsidTr="0039030C">
        <w:tc>
          <w:tcPr>
            <w:tcW w:w="3256" w:type="dxa"/>
          </w:tcPr>
          <w:p w14:paraId="0858F661" w14:textId="225977C2" w:rsidR="00464263" w:rsidRDefault="00464263" w:rsidP="00464263">
            <w:pPr>
              <w:jc w:val="both"/>
            </w:pPr>
            <w:r>
              <w:t>14001018- Prireditev Vino s pod mosta</w:t>
            </w:r>
          </w:p>
        </w:tc>
        <w:tc>
          <w:tcPr>
            <w:tcW w:w="1559" w:type="dxa"/>
          </w:tcPr>
          <w:p w14:paraId="57F09B76" w14:textId="0FECB035" w:rsidR="00464263" w:rsidRDefault="00464263" w:rsidP="00464263">
            <w:pPr>
              <w:jc w:val="both"/>
            </w:pPr>
            <w:r>
              <w:t>+7.500 €</w:t>
            </w:r>
          </w:p>
        </w:tc>
        <w:tc>
          <w:tcPr>
            <w:tcW w:w="4247" w:type="dxa"/>
          </w:tcPr>
          <w:p w14:paraId="4488EEDC" w14:textId="1B758F04" w:rsidR="00464263" w:rsidRDefault="006B194E" w:rsidP="00464263">
            <w:pPr>
              <w:jc w:val="both"/>
            </w:pPr>
            <w:r>
              <w:t>Naknaden dogovor z Zavodom za turizem</w:t>
            </w:r>
            <w:r w:rsidR="00E13E19">
              <w:t xml:space="preserve"> Nova Gorica in Vipavska dolina</w:t>
            </w:r>
          </w:p>
        </w:tc>
      </w:tr>
      <w:tr w:rsidR="00464263" w14:paraId="73A49964" w14:textId="77777777" w:rsidTr="0039030C">
        <w:tc>
          <w:tcPr>
            <w:tcW w:w="3256" w:type="dxa"/>
          </w:tcPr>
          <w:p w14:paraId="1110E21D" w14:textId="2A0171C0" w:rsidR="00464263" w:rsidRDefault="00464263" w:rsidP="00464263">
            <w:pPr>
              <w:jc w:val="both"/>
            </w:pPr>
            <w:r>
              <w:t>14002008 – Kolesarska proga Kras-Renče</w:t>
            </w:r>
          </w:p>
        </w:tc>
        <w:tc>
          <w:tcPr>
            <w:tcW w:w="1559" w:type="dxa"/>
          </w:tcPr>
          <w:p w14:paraId="4FBF1AF5" w14:textId="22D4D44C" w:rsidR="00464263" w:rsidRDefault="00464263" w:rsidP="00464263">
            <w:pPr>
              <w:jc w:val="both"/>
            </w:pPr>
            <w:r>
              <w:t>+7.000 €</w:t>
            </w:r>
          </w:p>
        </w:tc>
        <w:tc>
          <w:tcPr>
            <w:tcW w:w="4247" w:type="dxa"/>
          </w:tcPr>
          <w:p w14:paraId="717A15D6" w14:textId="72C67493" w:rsidR="00464263" w:rsidRDefault="00464263" w:rsidP="00464263">
            <w:pPr>
              <w:jc w:val="both"/>
            </w:pPr>
            <w:r w:rsidRPr="00D70CDE">
              <w:t>Izkazane nove, dodatne potrebe</w:t>
            </w:r>
            <w:r w:rsidR="008371F4">
              <w:t xml:space="preserve"> iz strani naravovarstvenih pogojev</w:t>
            </w:r>
          </w:p>
        </w:tc>
      </w:tr>
      <w:tr w:rsidR="004E3E1C" w14:paraId="747B4867" w14:textId="77777777" w:rsidTr="0039030C">
        <w:tc>
          <w:tcPr>
            <w:tcW w:w="3256" w:type="dxa"/>
          </w:tcPr>
          <w:p w14:paraId="584D4233" w14:textId="671D8356" w:rsidR="004E3E1C" w:rsidRDefault="004E3E1C" w:rsidP="00234A67">
            <w:pPr>
              <w:jc w:val="both"/>
            </w:pPr>
            <w:r>
              <w:t>15001030 – Gradnja in vzdrževanje ekoloških otokov</w:t>
            </w:r>
          </w:p>
        </w:tc>
        <w:tc>
          <w:tcPr>
            <w:tcW w:w="1559" w:type="dxa"/>
          </w:tcPr>
          <w:p w14:paraId="26F18901" w14:textId="4CD77BC1" w:rsidR="004E3E1C" w:rsidRDefault="004E3E1C" w:rsidP="007404C2">
            <w:pPr>
              <w:jc w:val="both"/>
            </w:pPr>
            <w:r>
              <w:t>+30.000 €</w:t>
            </w:r>
          </w:p>
        </w:tc>
        <w:tc>
          <w:tcPr>
            <w:tcW w:w="4247" w:type="dxa"/>
          </w:tcPr>
          <w:p w14:paraId="1B21A31D" w14:textId="7E7C8971" w:rsidR="004E3E1C" w:rsidRDefault="001C2ED9" w:rsidP="007404C2">
            <w:pPr>
              <w:jc w:val="both"/>
            </w:pPr>
            <w:r>
              <w:t>Pripombe, predlogi svetnikov</w:t>
            </w:r>
          </w:p>
        </w:tc>
      </w:tr>
      <w:tr w:rsidR="004E3E1C" w14:paraId="1B6FC201" w14:textId="77777777" w:rsidTr="0039030C">
        <w:tc>
          <w:tcPr>
            <w:tcW w:w="3256" w:type="dxa"/>
          </w:tcPr>
          <w:p w14:paraId="12780128" w14:textId="055EB62A" w:rsidR="001D638E" w:rsidRPr="001D638E" w:rsidRDefault="001D638E" w:rsidP="001D638E">
            <w:pPr>
              <w:jc w:val="both"/>
            </w:pPr>
            <w:r w:rsidRPr="001D638E">
              <w:t>16003014- Protipožarni ukrepi-oskrba z vodo</w:t>
            </w:r>
          </w:p>
          <w:p w14:paraId="34959F7F" w14:textId="77777777" w:rsidR="004E3E1C" w:rsidRDefault="004E3E1C" w:rsidP="00234A67">
            <w:pPr>
              <w:jc w:val="both"/>
            </w:pPr>
          </w:p>
        </w:tc>
        <w:tc>
          <w:tcPr>
            <w:tcW w:w="1559" w:type="dxa"/>
          </w:tcPr>
          <w:p w14:paraId="6B14A473" w14:textId="618723F2" w:rsidR="004E3E1C" w:rsidRDefault="001D638E" w:rsidP="007404C2">
            <w:pPr>
              <w:jc w:val="both"/>
            </w:pPr>
            <w:r>
              <w:t>+ 210.000 €</w:t>
            </w:r>
          </w:p>
        </w:tc>
        <w:tc>
          <w:tcPr>
            <w:tcW w:w="4247" w:type="dxa"/>
          </w:tcPr>
          <w:p w14:paraId="11F5BD67" w14:textId="0BAC7D4F" w:rsidR="004E3E1C" w:rsidRDefault="00A04753" w:rsidP="007404C2">
            <w:pPr>
              <w:jc w:val="both"/>
            </w:pPr>
            <w:r>
              <w:t>Novi podatki o razpisu MKGP v začetku leta 2024 – enak znesek načrtovan na prihodkovni strani. Za prijavo na razpis je nujno, da imamo v proračunu tudi PP.</w:t>
            </w:r>
          </w:p>
        </w:tc>
      </w:tr>
      <w:tr w:rsidR="00FC1B22" w14:paraId="40997E96" w14:textId="77777777" w:rsidTr="0039030C">
        <w:tc>
          <w:tcPr>
            <w:tcW w:w="3256" w:type="dxa"/>
          </w:tcPr>
          <w:p w14:paraId="3FE140E6" w14:textId="77777777" w:rsidR="00FC1B22" w:rsidRDefault="00FC1B22" w:rsidP="001D638E">
            <w:pPr>
              <w:jc w:val="both"/>
            </w:pPr>
            <w:r w:rsidRPr="00FC1B22">
              <w:t>16003046- Vodovod Lamovo od križišča do h.š.72b</w:t>
            </w:r>
          </w:p>
          <w:p w14:paraId="400E3842" w14:textId="79372B2A" w:rsidR="0010276C" w:rsidRPr="001D638E" w:rsidRDefault="0010276C" w:rsidP="001D638E">
            <w:pPr>
              <w:jc w:val="both"/>
            </w:pPr>
          </w:p>
        </w:tc>
        <w:tc>
          <w:tcPr>
            <w:tcW w:w="1559" w:type="dxa"/>
          </w:tcPr>
          <w:p w14:paraId="7C91070D" w14:textId="5262DFD8" w:rsidR="00FC1B22" w:rsidRDefault="00FC1B22" w:rsidP="007404C2">
            <w:pPr>
              <w:jc w:val="both"/>
            </w:pPr>
            <w:r>
              <w:t>+50.000 €</w:t>
            </w:r>
          </w:p>
        </w:tc>
        <w:tc>
          <w:tcPr>
            <w:tcW w:w="4247" w:type="dxa"/>
          </w:tcPr>
          <w:p w14:paraId="62C87E13" w14:textId="508579FC" w:rsidR="00FC1B22" w:rsidRDefault="001C2ED9" w:rsidP="007404C2">
            <w:pPr>
              <w:jc w:val="both"/>
            </w:pPr>
            <w:r>
              <w:t>Pripombe, predlogi svetnikov</w:t>
            </w:r>
            <w:r w:rsidR="00931F27">
              <w:t xml:space="preserve"> in VIK-a</w:t>
            </w:r>
          </w:p>
        </w:tc>
      </w:tr>
      <w:tr w:rsidR="0030644C" w14:paraId="4F6AC77E" w14:textId="77777777" w:rsidTr="0039030C">
        <w:tc>
          <w:tcPr>
            <w:tcW w:w="3256" w:type="dxa"/>
          </w:tcPr>
          <w:p w14:paraId="71B5BB1B" w14:textId="77777777" w:rsidR="0030644C" w:rsidRDefault="0030644C" w:rsidP="00FC1B22">
            <w:pPr>
              <w:jc w:val="both"/>
            </w:pPr>
            <w:r>
              <w:t>16003030- Ureditev pokopališča Bukovica-Volčja Draga</w:t>
            </w:r>
          </w:p>
          <w:p w14:paraId="6F91B629" w14:textId="77777777" w:rsidR="0010276C" w:rsidRDefault="0010276C" w:rsidP="00FC1B22">
            <w:pPr>
              <w:jc w:val="both"/>
            </w:pPr>
          </w:p>
          <w:p w14:paraId="4CCF5435" w14:textId="60A1C328" w:rsidR="0010276C" w:rsidRPr="00FC1B22" w:rsidRDefault="0010276C" w:rsidP="00FC1B22">
            <w:pPr>
              <w:jc w:val="both"/>
            </w:pPr>
          </w:p>
        </w:tc>
        <w:tc>
          <w:tcPr>
            <w:tcW w:w="1559" w:type="dxa"/>
          </w:tcPr>
          <w:p w14:paraId="48DE40DB" w14:textId="25454051" w:rsidR="0030644C" w:rsidRDefault="0030644C" w:rsidP="007404C2">
            <w:pPr>
              <w:jc w:val="both"/>
            </w:pPr>
            <w:r>
              <w:lastRenderedPageBreak/>
              <w:t>+20 .000 €</w:t>
            </w:r>
          </w:p>
        </w:tc>
        <w:tc>
          <w:tcPr>
            <w:tcW w:w="4247" w:type="dxa"/>
          </w:tcPr>
          <w:p w14:paraId="116AF5F7" w14:textId="4A0AAFEB" w:rsidR="0030644C" w:rsidRDefault="001C2ED9" w:rsidP="007404C2">
            <w:pPr>
              <w:jc w:val="both"/>
            </w:pPr>
            <w:r>
              <w:t>Pripombe, predlogi svetnikov</w:t>
            </w:r>
            <w:r w:rsidR="00931F27">
              <w:t xml:space="preserve"> in KS Bukovica-Volčja Draga</w:t>
            </w:r>
          </w:p>
        </w:tc>
      </w:tr>
      <w:tr w:rsidR="0030644C" w14:paraId="34877111" w14:textId="77777777" w:rsidTr="0039030C">
        <w:tc>
          <w:tcPr>
            <w:tcW w:w="3256" w:type="dxa"/>
          </w:tcPr>
          <w:p w14:paraId="13783DA7" w14:textId="77777777" w:rsidR="005779FF" w:rsidRPr="00FC1B22" w:rsidRDefault="005779FF" w:rsidP="00FC1B22">
            <w:pPr>
              <w:jc w:val="both"/>
            </w:pPr>
            <w:r>
              <w:t>18004010 -</w:t>
            </w:r>
          </w:p>
          <w:p w14:paraId="47DDA43E" w14:textId="61E0D56A" w:rsidR="0030644C" w:rsidRPr="00FC1B22" w:rsidRDefault="005779FF" w:rsidP="00FC1B22">
            <w:pPr>
              <w:jc w:val="both"/>
            </w:pPr>
            <w:r w:rsidRPr="005779FF">
              <w:t>Financiranje programov in projektov ljubiteljske kulture</w:t>
            </w:r>
          </w:p>
        </w:tc>
        <w:tc>
          <w:tcPr>
            <w:tcW w:w="1559" w:type="dxa"/>
          </w:tcPr>
          <w:p w14:paraId="1CF2BAFD" w14:textId="403DE76D" w:rsidR="0030644C" w:rsidRDefault="005779FF" w:rsidP="007404C2">
            <w:pPr>
              <w:jc w:val="both"/>
            </w:pPr>
            <w:r>
              <w:t>+3.000 €</w:t>
            </w:r>
          </w:p>
        </w:tc>
        <w:tc>
          <w:tcPr>
            <w:tcW w:w="4247" w:type="dxa"/>
          </w:tcPr>
          <w:p w14:paraId="26FC34EF" w14:textId="137729B1" w:rsidR="0030644C" w:rsidRDefault="0036717F" w:rsidP="007404C2">
            <w:pPr>
              <w:jc w:val="both"/>
            </w:pPr>
            <w:r>
              <w:t>Predlog odbora za družbene dejavnosti</w:t>
            </w:r>
          </w:p>
        </w:tc>
      </w:tr>
      <w:tr w:rsidR="004B2EE0" w14:paraId="42BE523B" w14:textId="77777777" w:rsidTr="0039030C">
        <w:tc>
          <w:tcPr>
            <w:tcW w:w="3256" w:type="dxa"/>
          </w:tcPr>
          <w:p w14:paraId="11E6491E" w14:textId="09683541" w:rsidR="00F9259B" w:rsidRDefault="004B2EE0" w:rsidP="00FC1B22">
            <w:pPr>
              <w:jc w:val="both"/>
            </w:pPr>
            <w:r>
              <w:t>18008010 – Sofinanciranje upokojenskih društev</w:t>
            </w:r>
          </w:p>
        </w:tc>
        <w:tc>
          <w:tcPr>
            <w:tcW w:w="1559" w:type="dxa"/>
          </w:tcPr>
          <w:p w14:paraId="4A8FCE01" w14:textId="4AD78211" w:rsidR="004B2EE0" w:rsidRDefault="004B2EE0" w:rsidP="007404C2">
            <w:pPr>
              <w:jc w:val="both"/>
            </w:pPr>
            <w:r>
              <w:t>+500 €</w:t>
            </w:r>
          </w:p>
        </w:tc>
        <w:tc>
          <w:tcPr>
            <w:tcW w:w="4247" w:type="dxa"/>
          </w:tcPr>
          <w:p w14:paraId="09DEC87E" w14:textId="1440807F" w:rsidR="004B2EE0" w:rsidRDefault="0036717F" w:rsidP="007404C2">
            <w:pPr>
              <w:jc w:val="both"/>
            </w:pPr>
            <w:r>
              <w:t>Predlog odbora za družbene dejavnosti</w:t>
            </w:r>
          </w:p>
        </w:tc>
      </w:tr>
      <w:tr w:rsidR="004B2EE0" w14:paraId="01971634" w14:textId="77777777" w:rsidTr="0039030C">
        <w:tc>
          <w:tcPr>
            <w:tcW w:w="3256" w:type="dxa"/>
          </w:tcPr>
          <w:p w14:paraId="3BDF47BF" w14:textId="77777777" w:rsidR="00D23E09" w:rsidRDefault="00D23E09" w:rsidP="00FC1B22">
            <w:pPr>
              <w:jc w:val="both"/>
            </w:pPr>
            <w:r>
              <w:t xml:space="preserve">18009010 - </w:t>
            </w:r>
          </w:p>
          <w:p w14:paraId="30349F45" w14:textId="7DCFA7BF" w:rsidR="00E54884" w:rsidRDefault="00D23E09" w:rsidP="00FC1B22">
            <w:pPr>
              <w:jc w:val="both"/>
            </w:pPr>
            <w:r w:rsidRPr="00D23E09">
              <w:t>Sofinanciranje športnih društev</w:t>
            </w:r>
          </w:p>
        </w:tc>
        <w:tc>
          <w:tcPr>
            <w:tcW w:w="1559" w:type="dxa"/>
          </w:tcPr>
          <w:p w14:paraId="6DCED70E" w14:textId="3EFA540D" w:rsidR="004B2EE0" w:rsidRDefault="00D23E09" w:rsidP="007404C2">
            <w:pPr>
              <w:jc w:val="both"/>
            </w:pPr>
            <w:r>
              <w:t>+ 2.500 €</w:t>
            </w:r>
          </w:p>
        </w:tc>
        <w:tc>
          <w:tcPr>
            <w:tcW w:w="4247" w:type="dxa"/>
          </w:tcPr>
          <w:p w14:paraId="331D2EBF" w14:textId="098E3266" w:rsidR="004B2EE0" w:rsidRDefault="0036717F" w:rsidP="007404C2">
            <w:pPr>
              <w:jc w:val="both"/>
            </w:pPr>
            <w:r>
              <w:t>Predlog odbora za družbene dejavnosti</w:t>
            </w:r>
          </w:p>
        </w:tc>
      </w:tr>
      <w:tr w:rsidR="00E54884" w14:paraId="66FF3B9A" w14:textId="77777777" w:rsidTr="0039030C">
        <w:tc>
          <w:tcPr>
            <w:tcW w:w="3256" w:type="dxa"/>
          </w:tcPr>
          <w:p w14:paraId="1492BEE6" w14:textId="49165D6D" w:rsidR="00E54884" w:rsidRDefault="00E54884" w:rsidP="00FC1B22">
            <w:pPr>
              <w:jc w:val="both"/>
            </w:pPr>
            <w:r>
              <w:t xml:space="preserve">20004021 – </w:t>
            </w:r>
          </w:p>
          <w:p w14:paraId="38BDE615" w14:textId="3691872D" w:rsidR="00E54884" w:rsidRDefault="00E54884" w:rsidP="00FC1B22">
            <w:pPr>
              <w:jc w:val="both"/>
            </w:pPr>
            <w:r w:rsidRPr="00E54884">
              <w:t>Subvencioniranje tržnih najemnin</w:t>
            </w:r>
          </w:p>
        </w:tc>
        <w:tc>
          <w:tcPr>
            <w:tcW w:w="1559" w:type="dxa"/>
          </w:tcPr>
          <w:p w14:paraId="683086F2" w14:textId="38A3DE2B" w:rsidR="00E54884" w:rsidRDefault="0097185F" w:rsidP="0097185F">
            <w:pPr>
              <w:jc w:val="both"/>
            </w:pPr>
            <w:r>
              <w:t>-8.000 €</w:t>
            </w:r>
          </w:p>
        </w:tc>
        <w:tc>
          <w:tcPr>
            <w:tcW w:w="4247" w:type="dxa"/>
          </w:tcPr>
          <w:p w14:paraId="28B5F185" w14:textId="7CB9BF66" w:rsidR="00E54884" w:rsidRDefault="00F1436D" w:rsidP="007404C2">
            <w:pPr>
              <w:jc w:val="both"/>
            </w:pPr>
            <w:r>
              <w:t>Uskladitev z novo zakonodajo-strošek je povrnjen s strani države in občina tega ne vodi kot odhodek</w:t>
            </w:r>
          </w:p>
        </w:tc>
      </w:tr>
      <w:tr w:rsidR="00F9259B" w14:paraId="004B7621" w14:textId="77777777" w:rsidTr="0039030C">
        <w:tc>
          <w:tcPr>
            <w:tcW w:w="3256" w:type="dxa"/>
          </w:tcPr>
          <w:p w14:paraId="5AC1F8D7" w14:textId="7BE0F1EB" w:rsidR="00F9259B" w:rsidRDefault="00F9259B" w:rsidP="00FC1B22">
            <w:pPr>
              <w:jc w:val="both"/>
            </w:pPr>
            <w:r>
              <w:t>KS Bukovica – Volčja Draga</w:t>
            </w:r>
          </w:p>
        </w:tc>
        <w:tc>
          <w:tcPr>
            <w:tcW w:w="1559" w:type="dxa"/>
          </w:tcPr>
          <w:p w14:paraId="5E7438DB" w14:textId="20E074EB" w:rsidR="00F9259B" w:rsidRDefault="00F9259B" w:rsidP="0097185F">
            <w:pPr>
              <w:jc w:val="both"/>
            </w:pPr>
            <w:r>
              <w:t>+4.397 €</w:t>
            </w:r>
          </w:p>
        </w:tc>
        <w:tc>
          <w:tcPr>
            <w:tcW w:w="4247" w:type="dxa"/>
          </w:tcPr>
          <w:p w14:paraId="2BB600DA" w14:textId="4474CF9F" w:rsidR="00F9259B" w:rsidRDefault="00F9259B" w:rsidP="007404C2">
            <w:pPr>
              <w:jc w:val="both"/>
            </w:pPr>
            <w:r>
              <w:t>Uskladitev s končnimi podatki o realizaciji KS</w:t>
            </w:r>
          </w:p>
        </w:tc>
      </w:tr>
      <w:tr w:rsidR="00F9259B" w14:paraId="450171C9" w14:textId="77777777" w:rsidTr="0039030C">
        <w:tc>
          <w:tcPr>
            <w:tcW w:w="3256" w:type="dxa"/>
          </w:tcPr>
          <w:p w14:paraId="44C6144D" w14:textId="0B383BD9" w:rsidR="00F9259B" w:rsidRDefault="00F9259B" w:rsidP="00F9259B">
            <w:pPr>
              <w:jc w:val="both"/>
            </w:pPr>
            <w:r>
              <w:t>KS Renče</w:t>
            </w:r>
          </w:p>
        </w:tc>
        <w:tc>
          <w:tcPr>
            <w:tcW w:w="1559" w:type="dxa"/>
          </w:tcPr>
          <w:p w14:paraId="7E05AE41" w14:textId="25E17198" w:rsidR="00F9259B" w:rsidRDefault="00C5079F" w:rsidP="00F9259B">
            <w:pPr>
              <w:jc w:val="both"/>
            </w:pPr>
            <w:r>
              <w:t>-18.096 €</w:t>
            </w:r>
          </w:p>
        </w:tc>
        <w:tc>
          <w:tcPr>
            <w:tcW w:w="4247" w:type="dxa"/>
          </w:tcPr>
          <w:p w14:paraId="3AFADD1D" w14:textId="5E63D26B" w:rsidR="00F9259B" w:rsidRDefault="00F9259B" w:rsidP="00F9259B">
            <w:pPr>
              <w:jc w:val="both"/>
            </w:pPr>
            <w:r w:rsidRPr="00564A36">
              <w:t>Uskladitev s končnimi podatki o realizaciji KS</w:t>
            </w:r>
          </w:p>
        </w:tc>
      </w:tr>
      <w:tr w:rsidR="00F9259B" w14:paraId="0F5CB308" w14:textId="77777777" w:rsidTr="0039030C">
        <w:tc>
          <w:tcPr>
            <w:tcW w:w="3256" w:type="dxa"/>
          </w:tcPr>
          <w:p w14:paraId="2700AA77" w14:textId="1537ECC2" w:rsidR="00F9259B" w:rsidRDefault="00C5079F" w:rsidP="00F9259B">
            <w:pPr>
              <w:jc w:val="both"/>
            </w:pPr>
            <w:r>
              <w:t>KS Vogrsko</w:t>
            </w:r>
          </w:p>
        </w:tc>
        <w:tc>
          <w:tcPr>
            <w:tcW w:w="1559" w:type="dxa"/>
          </w:tcPr>
          <w:p w14:paraId="5F985A71" w14:textId="2753F017" w:rsidR="00F9259B" w:rsidRDefault="00C5079F" w:rsidP="00F9259B">
            <w:pPr>
              <w:jc w:val="both"/>
            </w:pPr>
            <w:r>
              <w:t>-1.942 €</w:t>
            </w:r>
          </w:p>
        </w:tc>
        <w:tc>
          <w:tcPr>
            <w:tcW w:w="4247" w:type="dxa"/>
          </w:tcPr>
          <w:p w14:paraId="72D27844" w14:textId="368C32B5" w:rsidR="00F9259B" w:rsidRDefault="00F9259B" w:rsidP="00F9259B">
            <w:pPr>
              <w:jc w:val="both"/>
            </w:pPr>
            <w:r w:rsidRPr="00564A36">
              <w:t>Uskladitev s končnimi podatki o realizaciji KS</w:t>
            </w:r>
          </w:p>
        </w:tc>
      </w:tr>
    </w:tbl>
    <w:p w14:paraId="755867B6" w14:textId="77777777" w:rsidR="00476560" w:rsidRDefault="00476560" w:rsidP="004908BC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476560" w14:paraId="1FB8251D" w14:textId="77777777" w:rsidTr="00697017">
        <w:tc>
          <w:tcPr>
            <w:tcW w:w="3020" w:type="dxa"/>
          </w:tcPr>
          <w:p w14:paraId="6F574C1D" w14:textId="03E4C7F9" w:rsidR="00476560" w:rsidRDefault="00476560" w:rsidP="00697017">
            <w:pPr>
              <w:jc w:val="both"/>
            </w:pPr>
            <w:r>
              <w:t>5001 najeti krediti pri poslovnih bankah</w:t>
            </w:r>
          </w:p>
        </w:tc>
        <w:tc>
          <w:tcPr>
            <w:tcW w:w="1653" w:type="dxa"/>
          </w:tcPr>
          <w:p w14:paraId="030FF830" w14:textId="78FCCE1E" w:rsidR="00476560" w:rsidRDefault="00476560" w:rsidP="00697017">
            <w:pPr>
              <w:jc w:val="both"/>
            </w:pPr>
            <w:r>
              <w:t>-20.000 €</w:t>
            </w:r>
          </w:p>
        </w:tc>
        <w:tc>
          <w:tcPr>
            <w:tcW w:w="4389" w:type="dxa"/>
          </w:tcPr>
          <w:p w14:paraId="16B10276" w14:textId="57A58DFD" w:rsidR="00476560" w:rsidRDefault="00C566B2" w:rsidP="00697017">
            <w:pPr>
              <w:jc w:val="both"/>
            </w:pPr>
            <w:r>
              <w:t>Uravnoteženje proračuna</w:t>
            </w:r>
          </w:p>
        </w:tc>
      </w:tr>
    </w:tbl>
    <w:p w14:paraId="2FB289A5" w14:textId="77777777" w:rsidR="00476560" w:rsidRDefault="00476560" w:rsidP="004908BC">
      <w:pPr>
        <w:jc w:val="both"/>
      </w:pPr>
    </w:p>
    <w:p w14:paraId="5A0B065A" w14:textId="77777777" w:rsidR="00842257" w:rsidRDefault="00842257" w:rsidP="004908BC">
      <w:pPr>
        <w:jc w:val="both"/>
      </w:pPr>
    </w:p>
    <w:p w14:paraId="607A4136" w14:textId="77777777" w:rsidR="00134CE8" w:rsidRDefault="00134CE8" w:rsidP="004908BC">
      <w:pPr>
        <w:jc w:val="both"/>
      </w:pPr>
    </w:p>
    <w:p w14:paraId="0FF55F1C" w14:textId="2334194B" w:rsidR="00134CE8" w:rsidRDefault="00134CE8" w:rsidP="004908BC">
      <w:pPr>
        <w:jc w:val="both"/>
      </w:pPr>
      <w:r>
        <w:t>Župan in občinska uprava</w:t>
      </w:r>
    </w:p>
    <w:sectPr w:rsidR="0013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55A"/>
    <w:multiLevelType w:val="hybridMultilevel"/>
    <w:tmpl w:val="B82AAE36"/>
    <w:lvl w:ilvl="0" w:tplc="416AE4C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5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61"/>
    <w:rsid w:val="0004585E"/>
    <w:rsid w:val="0008532F"/>
    <w:rsid w:val="0010276C"/>
    <w:rsid w:val="00134CE8"/>
    <w:rsid w:val="00186027"/>
    <w:rsid w:val="001C2ED9"/>
    <w:rsid w:val="001D638E"/>
    <w:rsid w:val="00234A67"/>
    <w:rsid w:val="00235F44"/>
    <w:rsid w:val="0026353F"/>
    <w:rsid w:val="0030644C"/>
    <w:rsid w:val="003462A4"/>
    <w:rsid w:val="0036717F"/>
    <w:rsid w:val="003738EE"/>
    <w:rsid w:val="0039030C"/>
    <w:rsid w:val="003A5849"/>
    <w:rsid w:val="0045224E"/>
    <w:rsid w:val="00464263"/>
    <w:rsid w:val="00466644"/>
    <w:rsid w:val="00476560"/>
    <w:rsid w:val="004908BC"/>
    <w:rsid w:val="004B2EE0"/>
    <w:rsid w:val="004E3E1C"/>
    <w:rsid w:val="00510F00"/>
    <w:rsid w:val="005779FF"/>
    <w:rsid w:val="005F2553"/>
    <w:rsid w:val="00632050"/>
    <w:rsid w:val="006B194E"/>
    <w:rsid w:val="006B20A8"/>
    <w:rsid w:val="006B5DEA"/>
    <w:rsid w:val="006F7869"/>
    <w:rsid w:val="00724339"/>
    <w:rsid w:val="007404C2"/>
    <w:rsid w:val="007C5EE2"/>
    <w:rsid w:val="007F167A"/>
    <w:rsid w:val="008371F4"/>
    <w:rsid w:val="00842257"/>
    <w:rsid w:val="008F4708"/>
    <w:rsid w:val="00931F27"/>
    <w:rsid w:val="00965F0F"/>
    <w:rsid w:val="0097185F"/>
    <w:rsid w:val="00981377"/>
    <w:rsid w:val="009A21B0"/>
    <w:rsid w:val="009D4D35"/>
    <w:rsid w:val="009F37BC"/>
    <w:rsid w:val="00A04753"/>
    <w:rsid w:val="00A357BC"/>
    <w:rsid w:val="00AE7817"/>
    <w:rsid w:val="00B44277"/>
    <w:rsid w:val="00B65E93"/>
    <w:rsid w:val="00C4387A"/>
    <w:rsid w:val="00C5079F"/>
    <w:rsid w:val="00C566B2"/>
    <w:rsid w:val="00D23E09"/>
    <w:rsid w:val="00D6016D"/>
    <w:rsid w:val="00D7375F"/>
    <w:rsid w:val="00D80C23"/>
    <w:rsid w:val="00DC4261"/>
    <w:rsid w:val="00E13E19"/>
    <w:rsid w:val="00E2645A"/>
    <w:rsid w:val="00E54884"/>
    <w:rsid w:val="00F1436D"/>
    <w:rsid w:val="00F221B9"/>
    <w:rsid w:val="00F9259B"/>
    <w:rsid w:val="00FB66C5"/>
    <w:rsid w:val="00FC1B22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B7AC"/>
  <w15:chartTrackingRefBased/>
  <w15:docId w15:val="{F9D5D9D8-A4E4-48EB-9925-C306516B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C42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C42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C42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C42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C42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C42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C42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C42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C42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C42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C42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C42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C426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C4261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C4261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C4261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C4261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C426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DC42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C4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C42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DC42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DC42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DC4261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DC4261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DC4261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C42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C4261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DC4261"/>
    <w:rPr>
      <w:b/>
      <w:bCs/>
      <w:smallCaps/>
      <w:color w:val="0F4761" w:themeColor="accent1" w:themeShade="BF"/>
      <w:spacing w:val="5"/>
    </w:rPr>
  </w:style>
  <w:style w:type="table" w:styleId="Tabelamrea">
    <w:name w:val="Table Grid"/>
    <w:basedOn w:val="Navadnatabela"/>
    <w:uiPriority w:val="39"/>
    <w:rsid w:val="005F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Čufer</dc:creator>
  <cp:keywords/>
  <dc:description/>
  <cp:lastModifiedBy>Beti Čufer</cp:lastModifiedBy>
  <cp:revision>2</cp:revision>
  <cp:lastPrinted>2024-01-19T12:56:00Z</cp:lastPrinted>
  <dcterms:created xsi:type="dcterms:W3CDTF">2024-01-19T12:56:00Z</dcterms:created>
  <dcterms:modified xsi:type="dcterms:W3CDTF">2024-01-19T12:56:00Z</dcterms:modified>
</cp:coreProperties>
</file>