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787D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>OBČINA RENČE-VOGRSKO</w:t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PREDLOG        OBČINSKI SVET</w:t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4A932C6D" w14:textId="77777777" w:rsidR="003775FD" w:rsidRPr="00193BF4" w:rsidRDefault="003775FD" w:rsidP="003775FD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0B1C2359" w14:textId="77777777" w:rsidR="003775FD" w:rsidRPr="00193BF4" w:rsidRDefault="003775FD" w:rsidP="003775FD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5184C753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NASLOV: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6DDFAB9E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</w:t>
      </w:r>
    </w:p>
    <w:p w14:paraId="38C7BEE4" w14:textId="5763B686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>SOGLASJE K PORABI PRESEŽKA PRIHODKOV NAD ODHODKI IZ LETA 20</w:t>
      </w:r>
      <w:r w:rsidR="00B00CC5"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>24</w:t>
      </w:r>
      <w:r w:rsidRPr="00193BF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GLASBENI ŠOLI NOVA GORICA </w:t>
      </w:r>
    </w:p>
    <w:p w14:paraId="61F2F948" w14:textId="77777777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415231CC" w14:textId="77777777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094D3581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PRAVNA PODLAGA: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720A59E5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27A3B3" w14:textId="6DF62204" w:rsidR="003775FD" w:rsidRPr="00193BF4" w:rsidRDefault="003775FD" w:rsidP="003775F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19. člen Zakona o računovodstvu (Uradni list RS, št. 23/9</w:t>
      </w:r>
      <w:r w:rsidR="005A3F9A" w:rsidRPr="00193BF4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="00B00CC5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5A3F9A" w:rsidRPr="00193BF4">
        <w:rPr>
          <w:rFonts w:ascii="Arial" w:eastAsia="Times New Roman" w:hAnsi="Arial" w:cs="Arial"/>
          <w:sz w:val="20"/>
          <w:szCs w:val="20"/>
          <w:lang w:eastAsia="sl-SI"/>
        </w:rPr>
        <w:t>30/02-ZJF-C in 114/06-ZUE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>),</w:t>
      </w:r>
    </w:p>
    <w:p w14:paraId="31AFF42F" w14:textId="59F8B871" w:rsidR="001063AE" w:rsidRPr="00193BF4" w:rsidRDefault="001063AE" w:rsidP="003775F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48. člen Zakona o zavodih (Uradni list RS, št. 12/91, 8/96, 36/00 – ZPDZC in 127/06 – ZJZP)</w:t>
      </w:r>
      <w:r w:rsidR="0028080B" w:rsidRPr="00193BF4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15BFC719" w14:textId="77777777" w:rsidR="003775FD" w:rsidRPr="00193BF4" w:rsidRDefault="003775FD" w:rsidP="003775F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18. člen Statuta Občine Renče-Vogrsko </w:t>
      </w:r>
      <w:bookmarkStart w:id="0" w:name="_Hlk17989870"/>
      <w:r w:rsidRPr="00193BF4">
        <w:rPr>
          <w:rFonts w:ascii="Arial" w:eastAsia="Times New Roman" w:hAnsi="Arial" w:cs="Arial"/>
          <w:sz w:val="20"/>
          <w:szCs w:val="20"/>
          <w:lang w:eastAsia="sl-SI"/>
        </w:rPr>
        <w:t>(Uradni list RS, št. 22/12 – uradno prečiščeno besedilo, 88/15 in 14/18)</w:t>
      </w:r>
      <w:bookmarkEnd w:id="0"/>
      <w:r w:rsidRPr="00193BF4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945BEFA" w14:textId="77777777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03BC862B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602B7B1D" w14:textId="692C2BBF" w:rsidR="003775FD" w:rsidRPr="00193BF4" w:rsidRDefault="003775FD" w:rsidP="00193BF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PREDLAGATELJ: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7F1EFF58" w14:textId="4D2F7B58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Župan</w:t>
      </w:r>
      <w:r w:rsidR="0028080B" w:rsidRPr="00193BF4">
        <w:rPr>
          <w:rFonts w:ascii="Arial" w:eastAsia="Times New Roman" w:hAnsi="Arial" w:cs="Arial"/>
          <w:sz w:val="20"/>
          <w:szCs w:val="20"/>
          <w:lang w:eastAsia="sl-SI"/>
        </w:rPr>
        <w:t>, Tarik Žigon</w:t>
      </w:r>
    </w:p>
    <w:p w14:paraId="6336BDD1" w14:textId="77777777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61CD5AA" w14:textId="77777777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69154573" w14:textId="7F3D2E75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PRIPRAVLJALEC: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01645DC" w14:textId="77777777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Župan, občinska uprava </w:t>
      </w:r>
    </w:p>
    <w:p w14:paraId="2182F725" w14:textId="77777777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500169" w14:textId="77777777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7052F11C" w14:textId="77777777" w:rsidR="003775FD" w:rsidRPr="00193BF4" w:rsidRDefault="003775FD" w:rsidP="003775F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  <w:r w:rsidRPr="00193BF4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 xml:space="preserve">OBRAZLOŽITEV:  </w:t>
      </w:r>
    </w:p>
    <w:p w14:paraId="38F8A274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AD609E" w14:textId="02E0B26F" w:rsidR="0058042A" w:rsidRPr="00193BF4" w:rsidRDefault="007A1EFB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Glasbena šola Nova Gorica (v nadaljevanju:</w:t>
      </w:r>
      <w:r w:rsidR="0058042A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zavod) je dne 31. 3. 2025 vsem občinam soustanoviteljicam (Mestna občina Nova Gorica, Občina Renče-Vogrsko, Občina Brda, Občina Kanal ob Soči, Občina Miren-Kostanjevica in Občina Šempeter-Vrtojba)</w:t>
      </w:r>
      <w:r w:rsidR="002460F3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A05D4" w:rsidRPr="00193BF4">
        <w:rPr>
          <w:rFonts w:ascii="Arial" w:eastAsia="Times New Roman" w:hAnsi="Arial" w:cs="Arial"/>
          <w:sz w:val="20"/>
          <w:szCs w:val="20"/>
          <w:lang w:eastAsia="sl-SI"/>
        </w:rPr>
        <w:t>dostavila vlogo za podajo soglasja zavodu k porabi presežka prihodkov nad odhodki iz leta 2024</w:t>
      </w:r>
      <w:r w:rsidR="0099510B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64EB0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za nakup osnovnih sredstev </w:t>
      </w:r>
      <w:r w:rsidR="00370EEF" w:rsidRPr="00193BF4">
        <w:rPr>
          <w:rFonts w:ascii="Arial" w:eastAsia="Times New Roman" w:hAnsi="Arial" w:cs="Arial"/>
          <w:sz w:val="20"/>
          <w:szCs w:val="20"/>
          <w:lang w:eastAsia="sl-SI"/>
        </w:rPr>
        <w:t>–</w:t>
      </w:r>
      <w:r w:rsidR="00C64EB0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0EEF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glasbenih instrumentov </w:t>
      </w:r>
      <w:r w:rsidR="003D090A" w:rsidRPr="00193BF4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370EEF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rog, </w:t>
      </w:r>
      <w:r w:rsidR="003D090A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2 </w:t>
      </w:r>
      <w:r w:rsidR="00370EEF" w:rsidRPr="00193BF4">
        <w:rPr>
          <w:rFonts w:ascii="Arial" w:eastAsia="Times New Roman" w:hAnsi="Arial" w:cs="Arial"/>
          <w:sz w:val="20"/>
          <w:szCs w:val="20"/>
          <w:lang w:eastAsia="sl-SI"/>
        </w:rPr>
        <w:t>klarinet</w:t>
      </w:r>
      <w:r w:rsidR="003D090A" w:rsidRPr="00193BF4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370EEF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336371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pianini in električna klaviatura) </w:t>
      </w:r>
      <w:r w:rsidR="0099510B" w:rsidRPr="00193BF4">
        <w:rPr>
          <w:rFonts w:ascii="Arial" w:eastAsia="Times New Roman" w:hAnsi="Arial" w:cs="Arial"/>
          <w:sz w:val="20"/>
          <w:szCs w:val="20"/>
          <w:lang w:eastAsia="sl-SI"/>
        </w:rPr>
        <w:t>v višini 12.995,27 EUR</w:t>
      </w:r>
      <w:r w:rsidR="00336371" w:rsidRPr="00193BF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870E39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Vlogi je priložen zapisnik 24. </w:t>
      </w:r>
      <w:r w:rsidR="000C7E36" w:rsidRPr="00193BF4">
        <w:rPr>
          <w:rFonts w:ascii="Arial" w:eastAsia="Times New Roman" w:hAnsi="Arial" w:cs="Arial"/>
          <w:sz w:val="20"/>
          <w:szCs w:val="20"/>
          <w:lang w:eastAsia="sl-SI"/>
        </w:rPr>
        <w:t>seje Sveta zavoda Glasbene šole Nova Gorica</w:t>
      </w:r>
      <w:r w:rsidR="00F46F5B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št. 013-2/2025-24</w:t>
      </w:r>
      <w:r w:rsidR="000C7E36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z dne 4. 3. 2025</w:t>
      </w:r>
      <w:r w:rsidR="00D76478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, iz katerega izhaja sklep, s katerim je Svet zavoda </w:t>
      </w:r>
      <w:r w:rsidR="0022404A" w:rsidRPr="00193BF4">
        <w:rPr>
          <w:rFonts w:ascii="Arial" w:eastAsia="Times New Roman" w:hAnsi="Arial" w:cs="Arial"/>
          <w:sz w:val="20"/>
          <w:szCs w:val="20"/>
          <w:lang w:eastAsia="sl-SI"/>
        </w:rPr>
        <w:t>potrdil, da se presežek prihodkov nad odhodki iz leta 2024 nameni za pokrivanje</w:t>
      </w:r>
      <w:r w:rsidR="005A7A51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izgube izleta 2022 in preostanek za nakup osnovnih sredstev</w:t>
      </w:r>
      <w:r w:rsidR="00F46F5B" w:rsidRPr="00193BF4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D615077" w14:textId="77777777" w:rsidR="0058042A" w:rsidRPr="00193BF4" w:rsidRDefault="0058042A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7D098B" w14:textId="133CB3FE" w:rsidR="003775FD" w:rsidRPr="00193BF4" w:rsidRDefault="002806AF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Z ozirom, da morajo občinski sveti občin soustanoviteljic sklep o porabi presežka prihodkov nad odhodki zavoda obravnavati in sprejeti v enakem besedilu, je 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Mestna občina Nova Gorica, sedežna občina soustanoviteljica 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>zavoda,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dne </w:t>
      </w:r>
      <w:r w:rsidR="00CF6C9C" w:rsidRPr="00193BF4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CF6C9C" w:rsidRPr="00193BF4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>. 20</w:t>
      </w:r>
      <w:r w:rsidR="00CF6C9C" w:rsidRPr="00193BF4">
        <w:rPr>
          <w:rFonts w:ascii="Arial" w:eastAsia="Times New Roman" w:hAnsi="Arial" w:cs="Arial"/>
          <w:sz w:val="20"/>
          <w:szCs w:val="20"/>
          <w:lang w:eastAsia="sl-SI"/>
        </w:rPr>
        <w:t>25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ostalim </w:t>
      </w:r>
      <w:r w:rsidR="0056229B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občinam soustanoviteljicam 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posredovala predlog gradiva za Mestni svet Mestne občine Nova Gorica, ki se nanaša </w:t>
      </w:r>
      <w:bookmarkStart w:id="1" w:name="_Hlk196724563"/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na podajo soglasja </w:t>
      </w:r>
      <w:r w:rsidR="00055F86" w:rsidRPr="00193BF4">
        <w:rPr>
          <w:rFonts w:ascii="Arial" w:eastAsia="Times New Roman" w:hAnsi="Arial" w:cs="Arial"/>
          <w:sz w:val="20"/>
          <w:szCs w:val="20"/>
          <w:lang w:eastAsia="sl-SI"/>
        </w:rPr>
        <w:t>G</w:t>
      </w:r>
      <w:r w:rsidR="00CF6C9C" w:rsidRPr="00193BF4">
        <w:rPr>
          <w:rFonts w:ascii="Arial" w:eastAsia="Times New Roman" w:hAnsi="Arial" w:cs="Arial"/>
          <w:sz w:val="20"/>
          <w:szCs w:val="20"/>
          <w:lang w:eastAsia="sl-SI"/>
        </w:rPr>
        <w:t>lasbeni šoli Nova Gorica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55F86" w:rsidRPr="00193BF4">
        <w:rPr>
          <w:rFonts w:ascii="Arial" w:eastAsia="Times New Roman" w:hAnsi="Arial" w:cs="Arial"/>
          <w:sz w:val="20"/>
          <w:szCs w:val="20"/>
          <w:lang w:eastAsia="sl-SI"/>
        </w:rPr>
        <w:t>Nova Gorica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k porabi presežka prihodkov nad odhodki iz leta 20</w:t>
      </w:r>
      <w:bookmarkEnd w:id="1"/>
      <w:r w:rsidR="00CF6C9C" w:rsidRPr="00193BF4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6229B" w:rsidRPr="00193BF4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F117FB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56229B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s </w:t>
      </w:r>
      <w:r w:rsidR="00F117FB" w:rsidRPr="00193BF4">
        <w:rPr>
          <w:rFonts w:ascii="Arial" w:eastAsia="Times New Roman" w:hAnsi="Arial" w:cs="Arial"/>
          <w:sz w:val="20"/>
          <w:szCs w:val="20"/>
          <w:lang w:eastAsia="sl-SI"/>
        </w:rPr>
        <w:t>predlog</w:t>
      </w:r>
      <w:r w:rsidR="0056229B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om </w:t>
      </w:r>
      <w:r w:rsidR="00F117FB" w:rsidRPr="00193BF4">
        <w:rPr>
          <w:rFonts w:ascii="Arial" w:eastAsia="Times New Roman" w:hAnsi="Arial" w:cs="Arial"/>
          <w:sz w:val="20"/>
          <w:szCs w:val="20"/>
          <w:lang w:eastAsia="sl-SI"/>
        </w:rPr>
        <w:t>sklepa.</w:t>
      </w:r>
      <w:r w:rsidR="003E0C1B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637F2" w:rsidRPr="00193BF4">
        <w:rPr>
          <w:rFonts w:ascii="Arial" w:eastAsia="Times New Roman" w:hAnsi="Arial" w:cs="Arial"/>
          <w:sz w:val="20"/>
          <w:szCs w:val="20"/>
          <w:lang w:eastAsia="sl-SI"/>
        </w:rPr>
        <w:t>Mestni svet je predlog navedenega</w:t>
      </w:r>
      <w:r w:rsidR="00933224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637F2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sklepa obravnaval na </w:t>
      </w:r>
      <w:r w:rsidR="00933224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svoji </w:t>
      </w:r>
      <w:r w:rsidR="00C637F2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seji dne </w:t>
      </w:r>
      <w:r w:rsidR="00933224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24. 4. 2025 in ga </w:t>
      </w:r>
      <w:r w:rsidR="00E10DD9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soglasno </w:t>
      </w:r>
      <w:r w:rsidR="00933224" w:rsidRPr="00193BF4">
        <w:rPr>
          <w:rFonts w:ascii="Arial" w:eastAsia="Times New Roman" w:hAnsi="Arial" w:cs="Arial"/>
          <w:sz w:val="20"/>
          <w:szCs w:val="20"/>
          <w:lang w:eastAsia="sl-SI"/>
        </w:rPr>
        <w:t>sprejel.</w:t>
      </w:r>
    </w:p>
    <w:p w14:paraId="18E3E554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6557E7" w14:textId="48BCF4EC" w:rsidR="00055F86" w:rsidRPr="00193BF4" w:rsidRDefault="00055F86" w:rsidP="00055F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2" w:name="_Hlk18049395"/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19. člen Zakona o računovodstvu določa, da pravne osebe ugotavljajo v izidu poslovanja presežek prihodkov nad odhodki (v nadaljnjem besedilu: presežek), ter presežek odhodkov nad prihodki (v nadaljnjem besedilu: primanjkljaj). Presežek se razporeja v skladu z zakonom in odločitvijo ustanovitelja pravne osebe. </w:t>
      </w:r>
    </w:p>
    <w:p w14:paraId="61E9EF3D" w14:textId="77777777" w:rsidR="00055F86" w:rsidRPr="00193BF4" w:rsidRDefault="00055F86" w:rsidP="00055F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8BEB72" w14:textId="37C29313" w:rsidR="00055F86" w:rsidRPr="00193BF4" w:rsidRDefault="00055F86" w:rsidP="00055F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Drugi odstavek 48. člena Zakona o zavodih določa, da sme zavod presežek prihodkov nad odhodki uporabiti le za opravljanje in razvoj dejavnosti, če ni z aktom o ustanovitvi drugače določeno.</w:t>
      </w:r>
    </w:p>
    <w:p w14:paraId="5D4AB3FA" w14:textId="209F902A" w:rsidR="003775FD" w:rsidRPr="00193BF4" w:rsidRDefault="00E33B8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Odlok o ustanovitvi javnega zavoda Glasbena šola Nova Gorica (Uradno glasilo, št. 11/97, Uradni list RS, št. 100/06, 83/08 in 53/10) v 34. členu določa, da se presežek prihodkov nad odhodki, ki jih zavod pridobi s prodajo proizvodov oz. storitev, ustvarjenih z opravljanjem vzgoje in izobraževanja oz. z opravljanjem drugih dejavnosti v skladu s tem odlokom, uporablja za plačilo materialnih stroškov, investicijsko vzdrževanje in investicije, po predhodnem soglasju ustanoviteljic in v skladu s predpisi pa tudi za plače.</w:t>
      </w:r>
    </w:p>
    <w:p w14:paraId="123F4012" w14:textId="77777777" w:rsidR="00E1481F" w:rsidRPr="00193BF4" w:rsidRDefault="00E1481F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bookmarkEnd w:id="2"/>
    <w:p w14:paraId="15E767C6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6984C442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  <w:r w:rsidRPr="00193BF4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RAZLOGI ZA SPREJETJE SKLEPA:</w:t>
      </w:r>
    </w:p>
    <w:p w14:paraId="256A140F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7190557E" w14:textId="61F505F9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Sprejeti sklepi občin soustanoviteljic bodo osnova za porabo presežka prihodkov nad odhodki </w:t>
      </w:r>
      <w:r w:rsidR="00E1481F" w:rsidRPr="00193BF4">
        <w:rPr>
          <w:rFonts w:ascii="Arial" w:eastAsia="Times New Roman" w:hAnsi="Arial" w:cs="Arial"/>
          <w:sz w:val="20"/>
          <w:szCs w:val="20"/>
          <w:lang w:eastAsia="sl-SI"/>
        </w:rPr>
        <w:t>za nakup glasbenih instrumentov, ki jih zavod potrebuje za izvajanje svoje dejavnosti.</w:t>
      </w:r>
    </w:p>
    <w:p w14:paraId="492CBF01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A8697F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562E9384" w14:textId="7F53A56E" w:rsidR="003775FD" w:rsidRPr="00714D95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  <w:r w:rsidRPr="00193BF4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OCENA STANJA:</w:t>
      </w:r>
    </w:p>
    <w:p w14:paraId="53DE1CA6" w14:textId="4272CC1E" w:rsidR="003775FD" w:rsidRPr="00193BF4" w:rsidRDefault="003D1590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Zavod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razpolaga s presežkom prihodkov nad odhodki, ki ga lahko porabi skladno z 19. členom Zakona o računovodstvu, Odlokom o ustanovitvi, odločitvami občin 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>so</w:t>
      </w:r>
      <w:r w:rsidR="003775FD" w:rsidRPr="00193BF4">
        <w:rPr>
          <w:rFonts w:ascii="Arial" w:eastAsia="Times New Roman" w:hAnsi="Arial" w:cs="Arial"/>
          <w:sz w:val="20"/>
          <w:szCs w:val="20"/>
          <w:lang w:eastAsia="sl-SI"/>
        </w:rPr>
        <w:t>ustanoviteljic in planom porabe.</w:t>
      </w:r>
    </w:p>
    <w:p w14:paraId="0AFDE326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FFF049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51821A36" w14:textId="46FE6944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  <w:r w:rsidRPr="00193BF4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CILJI IN NAČELA:</w:t>
      </w:r>
    </w:p>
    <w:p w14:paraId="07346F26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Poraba presežka bo skladna z 19. členom Zakona o računovodstvu, ki določa, da se presežek razporeja v skladu z zakonom in odločitvijo ustanovitelja pravne osebe. Tako skladno z navedenim predlagamo Občinskemu svetu, da predlog sklepa o podaji soglasja </w:t>
      </w:r>
      <w:r w:rsidRPr="00193BF4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obravnava in sprejme. </w:t>
      </w:r>
    </w:p>
    <w:p w14:paraId="5B978BAE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</w:p>
    <w:p w14:paraId="4140DD3F" w14:textId="216BD6BC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</w:pPr>
      <w:r w:rsidRPr="00193BF4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FINANČNE IN DRUGE POSLEDICE:</w:t>
      </w:r>
    </w:p>
    <w:p w14:paraId="707485F0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Finančne posledice niso predvidene. </w:t>
      </w:r>
    </w:p>
    <w:p w14:paraId="4143300A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96C02E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5788AB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Pripravila:</w:t>
      </w:r>
    </w:p>
    <w:p w14:paraId="3422C770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Vladka Gal Janeš</w:t>
      </w:r>
    </w:p>
    <w:p w14:paraId="3549D9D2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Višja svetovalka I za družbene dejavnosti</w:t>
      </w:r>
    </w:p>
    <w:p w14:paraId="6D3627BA" w14:textId="77777777" w:rsidR="003775FD" w:rsidRPr="00193BF4" w:rsidRDefault="004031CE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pict w14:anchorId="317C1660">
          <v:rect id="_x0000_i1025" style="width:0;height:1.5pt" o:hralign="center" o:hrstd="t" o:hr="t" fillcolor="#a0a0a0" stroked="f"/>
        </w:pict>
      </w:r>
    </w:p>
    <w:p w14:paraId="5BF45A71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3E7F50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Predlog sklepa:</w:t>
      </w:r>
    </w:p>
    <w:p w14:paraId="20A6F256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843A6E" w14:textId="43E7FEA3" w:rsidR="00B976E8" w:rsidRPr="00193BF4" w:rsidRDefault="00B976E8" w:rsidP="00B976E8">
      <w:pPr>
        <w:pStyle w:val="Default"/>
        <w:jc w:val="both"/>
        <w:rPr>
          <w:color w:val="auto"/>
          <w:sz w:val="20"/>
          <w:szCs w:val="20"/>
        </w:rPr>
      </w:pPr>
      <w:r w:rsidRPr="00193BF4">
        <w:rPr>
          <w:color w:val="auto"/>
          <w:sz w:val="20"/>
          <w:szCs w:val="20"/>
        </w:rPr>
        <w:t xml:space="preserve">Na podlagi 19. člena Zakona o računovodstvu (Uradni list RS, št. 23/99, 30/02-ZJF-C in 114/06- ZUE), 48. člena Zakona o zavodih (Uradni list RS, št. 12/91, 8/96, 36/00 – ZPDZC in 127/06 – ZJZP)  in </w:t>
      </w:r>
      <w:r w:rsidR="000F20DF" w:rsidRPr="00193BF4">
        <w:rPr>
          <w:color w:val="auto"/>
          <w:sz w:val="20"/>
          <w:szCs w:val="20"/>
        </w:rPr>
        <w:t>18. člena Statuta Občine Renče-Vogrsko (Uradni list RS, št. 22/12 – uradno prečiščeno besedilo, 88/15 in 14/18</w:t>
      </w:r>
      <w:r w:rsidRPr="00193BF4">
        <w:rPr>
          <w:color w:val="auto"/>
          <w:sz w:val="20"/>
          <w:szCs w:val="20"/>
        </w:rPr>
        <w:t xml:space="preserve">) je </w:t>
      </w:r>
      <w:r w:rsidR="00476A9A" w:rsidRPr="00193BF4">
        <w:rPr>
          <w:color w:val="auto"/>
          <w:sz w:val="20"/>
          <w:szCs w:val="20"/>
        </w:rPr>
        <w:t xml:space="preserve">Občinski svet Občine Renče-Vogrsko </w:t>
      </w:r>
      <w:r w:rsidR="00C177C0" w:rsidRPr="00193BF4">
        <w:rPr>
          <w:color w:val="auto"/>
          <w:sz w:val="20"/>
          <w:szCs w:val="20"/>
        </w:rPr>
        <w:t>na ___ seji dne ___ sprejel naslednji</w:t>
      </w:r>
    </w:p>
    <w:p w14:paraId="24C2403D" w14:textId="77777777" w:rsidR="00B976E8" w:rsidRPr="00193BF4" w:rsidRDefault="00B976E8" w:rsidP="00B976E8">
      <w:pPr>
        <w:pStyle w:val="Default"/>
        <w:jc w:val="both"/>
        <w:rPr>
          <w:color w:val="auto"/>
          <w:sz w:val="20"/>
          <w:szCs w:val="20"/>
        </w:rPr>
      </w:pPr>
    </w:p>
    <w:p w14:paraId="4B27396E" w14:textId="77777777" w:rsidR="00B976E8" w:rsidRPr="00193BF4" w:rsidRDefault="00B976E8" w:rsidP="00B976E8">
      <w:pPr>
        <w:pStyle w:val="Default"/>
        <w:jc w:val="both"/>
        <w:rPr>
          <w:color w:val="auto"/>
          <w:sz w:val="20"/>
          <w:szCs w:val="20"/>
        </w:rPr>
      </w:pPr>
    </w:p>
    <w:p w14:paraId="3AD2FF90" w14:textId="77777777" w:rsidR="00B976E8" w:rsidRPr="00193BF4" w:rsidRDefault="00B976E8" w:rsidP="00B976E8">
      <w:pPr>
        <w:pStyle w:val="Default"/>
        <w:jc w:val="both"/>
        <w:rPr>
          <w:color w:val="auto"/>
          <w:sz w:val="20"/>
          <w:szCs w:val="20"/>
        </w:rPr>
      </w:pPr>
    </w:p>
    <w:p w14:paraId="4BA2FF8B" w14:textId="77777777" w:rsidR="00B976E8" w:rsidRPr="00193BF4" w:rsidRDefault="00B976E8" w:rsidP="00B976E8">
      <w:pPr>
        <w:pStyle w:val="Default"/>
        <w:jc w:val="both"/>
        <w:rPr>
          <w:color w:val="auto"/>
          <w:sz w:val="20"/>
          <w:szCs w:val="20"/>
        </w:rPr>
      </w:pPr>
    </w:p>
    <w:p w14:paraId="4732553B" w14:textId="77777777" w:rsidR="00B976E8" w:rsidRPr="00193BF4" w:rsidRDefault="00B976E8" w:rsidP="00B976E8">
      <w:pPr>
        <w:pStyle w:val="Default"/>
        <w:jc w:val="center"/>
        <w:rPr>
          <w:b/>
          <w:color w:val="auto"/>
          <w:sz w:val="20"/>
          <w:szCs w:val="20"/>
        </w:rPr>
      </w:pPr>
      <w:r w:rsidRPr="00193BF4">
        <w:rPr>
          <w:b/>
          <w:color w:val="auto"/>
          <w:sz w:val="20"/>
          <w:szCs w:val="20"/>
        </w:rPr>
        <w:t>S K L E P</w:t>
      </w:r>
    </w:p>
    <w:p w14:paraId="70FC9B30" w14:textId="77777777" w:rsidR="00B976E8" w:rsidRPr="00193BF4" w:rsidRDefault="00B976E8" w:rsidP="00B976E8">
      <w:pPr>
        <w:pStyle w:val="Default"/>
        <w:jc w:val="both"/>
        <w:rPr>
          <w:color w:val="auto"/>
          <w:sz w:val="20"/>
          <w:szCs w:val="20"/>
        </w:rPr>
      </w:pPr>
    </w:p>
    <w:p w14:paraId="25DA69B7" w14:textId="77777777" w:rsidR="00B976E8" w:rsidRPr="00193BF4" w:rsidRDefault="00B976E8" w:rsidP="00B976E8">
      <w:pPr>
        <w:pStyle w:val="Default"/>
        <w:jc w:val="both"/>
        <w:rPr>
          <w:color w:val="auto"/>
          <w:sz w:val="20"/>
          <w:szCs w:val="20"/>
        </w:rPr>
      </w:pPr>
    </w:p>
    <w:p w14:paraId="47164CE6" w14:textId="77777777" w:rsidR="00B976E8" w:rsidRPr="00193BF4" w:rsidRDefault="00B976E8" w:rsidP="00B976E8">
      <w:pPr>
        <w:pStyle w:val="Default"/>
        <w:jc w:val="center"/>
        <w:rPr>
          <w:color w:val="auto"/>
          <w:sz w:val="20"/>
          <w:szCs w:val="20"/>
        </w:rPr>
      </w:pPr>
      <w:r w:rsidRPr="00193BF4">
        <w:rPr>
          <w:color w:val="auto"/>
          <w:sz w:val="20"/>
          <w:szCs w:val="20"/>
        </w:rPr>
        <w:t>1.</w:t>
      </w:r>
    </w:p>
    <w:p w14:paraId="3D90EEF8" w14:textId="77777777" w:rsidR="00B976E8" w:rsidRPr="00193BF4" w:rsidRDefault="00B976E8" w:rsidP="00B976E8">
      <w:pPr>
        <w:pStyle w:val="Default"/>
        <w:jc w:val="both"/>
        <w:rPr>
          <w:color w:val="auto"/>
          <w:sz w:val="20"/>
          <w:szCs w:val="20"/>
        </w:rPr>
      </w:pPr>
    </w:p>
    <w:p w14:paraId="4F0431E1" w14:textId="77777777" w:rsidR="00B976E8" w:rsidRPr="00193BF4" w:rsidRDefault="00B976E8" w:rsidP="00B976E8">
      <w:pPr>
        <w:pStyle w:val="Default"/>
        <w:jc w:val="both"/>
        <w:rPr>
          <w:color w:val="auto"/>
          <w:sz w:val="20"/>
          <w:szCs w:val="20"/>
        </w:rPr>
      </w:pPr>
      <w:r w:rsidRPr="00193BF4">
        <w:rPr>
          <w:color w:val="auto"/>
          <w:sz w:val="20"/>
          <w:szCs w:val="20"/>
        </w:rPr>
        <w:t>Glasbena šola Nova Gorica presežek prihodkov nad odhodki iz leta 2024, v višini 12.995,27 EUR, nameni za nakup osnovnih sredstev, in sicer za naslednje glasbene inštrumente: rog, 2x klarinet, pianino in električna klaviatura.</w:t>
      </w:r>
    </w:p>
    <w:p w14:paraId="753CF615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B97166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4033F0" w14:textId="77777777" w:rsidR="003775FD" w:rsidRPr="00193BF4" w:rsidRDefault="003775FD" w:rsidP="003775F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 2. </w:t>
      </w:r>
    </w:p>
    <w:p w14:paraId="19156EE2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B0FE05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Ta sklep začne veljati takoj.</w:t>
      </w:r>
    </w:p>
    <w:p w14:paraId="500DF994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           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</w:t>
      </w:r>
    </w:p>
    <w:p w14:paraId="432C9508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5E2DD3" w14:textId="36ACF72E" w:rsidR="003775FD" w:rsidRPr="00193BF4" w:rsidRDefault="003775FD" w:rsidP="003775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Tarik Žigon</w:t>
      </w:r>
      <w:r w:rsidR="0009358B" w:rsidRPr="00193BF4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810A9EE" w14:textId="77777777" w:rsidR="003775FD" w:rsidRPr="00193BF4" w:rsidRDefault="003775FD" w:rsidP="003775F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 xml:space="preserve">   ŽUPAN</w:t>
      </w:r>
    </w:p>
    <w:p w14:paraId="1253E4BC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7AA889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Številka: ________</w:t>
      </w:r>
    </w:p>
    <w:p w14:paraId="77A057FF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93BF4">
        <w:rPr>
          <w:rFonts w:ascii="Arial" w:eastAsia="Times New Roman" w:hAnsi="Arial" w:cs="Arial"/>
          <w:sz w:val="20"/>
          <w:szCs w:val="20"/>
          <w:lang w:eastAsia="sl-SI"/>
        </w:rPr>
        <w:t>Bukovica, _______</w:t>
      </w:r>
      <w:r w:rsidRPr="00193BF4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35A6BDE" w14:textId="77777777" w:rsidR="003775FD" w:rsidRPr="00193BF4" w:rsidRDefault="003775FD" w:rsidP="003775F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EE9013C" w14:textId="77777777" w:rsidR="003775FD" w:rsidRPr="00193BF4" w:rsidRDefault="003775FD" w:rsidP="003775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D651D1" w14:textId="77777777" w:rsidR="003775FD" w:rsidRPr="00193BF4" w:rsidRDefault="003775FD" w:rsidP="003775F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A0D89EE" w14:textId="77777777" w:rsidR="00C5759D" w:rsidRPr="00193BF4" w:rsidRDefault="00C5759D">
      <w:pPr>
        <w:rPr>
          <w:rFonts w:ascii="Arial" w:hAnsi="Arial" w:cs="Arial"/>
          <w:sz w:val="20"/>
          <w:szCs w:val="20"/>
        </w:rPr>
      </w:pPr>
    </w:p>
    <w:sectPr w:rsidR="00C5759D" w:rsidRPr="00193BF4" w:rsidSect="007A7C7E">
      <w:headerReference w:type="first" r:id="rId7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7079A" w14:textId="77777777" w:rsidR="00100192" w:rsidRDefault="00100192">
      <w:pPr>
        <w:spacing w:after="0" w:line="240" w:lineRule="auto"/>
      </w:pPr>
      <w:r>
        <w:separator/>
      </w:r>
    </w:p>
  </w:endnote>
  <w:endnote w:type="continuationSeparator" w:id="0">
    <w:p w14:paraId="49C9FD76" w14:textId="77777777" w:rsidR="00100192" w:rsidRDefault="0010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92FB" w14:textId="77777777" w:rsidR="00100192" w:rsidRDefault="00100192">
      <w:pPr>
        <w:spacing w:after="0" w:line="240" w:lineRule="auto"/>
      </w:pPr>
      <w:r>
        <w:separator/>
      </w:r>
    </w:p>
  </w:footnote>
  <w:footnote w:type="continuationSeparator" w:id="0">
    <w:p w14:paraId="54E2263F" w14:textId="77777777" w:rsidR="00100192" w:rsidRDefault="0010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7ACE" w14:textId="020BCF9C" w:rsidR="00100192" w:rsidRPr="00193BF4" w:rsidRDefault="00193BF4" w:rsidP="00193BF4">
    <w:pPr>
      <w:tabs>
        <w:tab w:val="center" w:pos="4536"/>
        <w:tab w:val="right" w:pos="9072"/>
      </w:tabs>
      <w:jc w:val="center"/>
      <w:rPr>
        <w:rFonts w:ascii="Arial" w:hAnsi="Arial" w:cs="Arial"/>
        <w:color w:val="999999"/>
        <w:sz w:val="40"/>
        <w:szCs w:val="40"/>
      </w:rPr>
    </w:pPr>
    <w:r>
      <w:rPr>
        <w:rFonts w:ascii="Arial" w:hAnsi="Arial" w:cs="Arial"/>
        <w:color w:val="999999"/>
        <w:sz w:val="40"/>
        <w:szCs w:val="40"/>
      </w:rPr>
      <w:t>17</w:t>
    </w:r>
    <w:r w:rsidR="00055F86" w:rsidRPr="00193BF4">
      <w:rPr>
        <w:rFonts w:ascii="Arial" w:hAnsi="Arial" w:cs="Arial"/>
        <w:color w:val="999999"/>
        <w:sz w:val="40"/>
        <w:szCs w:val="40"/>
      </w:rPr>
      <w:t>. redna seja</w:t>
    </w:r>
    <w:r w:rsidR="00055F86" w:rsidRPr="00193BF4">
      <w:rPr>
        <w:rFonts w:ascii="Arial" w:hAnsi="Arial" w:cs="Arial"/>
        <w:color w:val="999999"/>
        <w:sz w:val="40"/>
        <w:szCs w:val="40"/>
      </w:rPr>
      <w:tab/>
    </w:r>
    <w:r w:rsidR="00055F86" w:rsidRPr="00193BF4">
      <w:rPr>
        <w:rFonts w:ascii="Arial" w:hAnsi="Arial" w:cs="Arial"/>
        <w:color w:val="999999"/>
        <w:sz w:val="40"/>
        <w:szCs w:val="40"/>
      </w:rPr>
      <w:tab/>
    </w:r>
    <w:r>
      <w:rPr>
        <w:rFonts w:ascii="Arial" w:hAnsi="Arial" w:cs="Arial"/>
        <w:color w:val="999999"/>
        <w:sz w:val="40"/>
        <w:szCs w:val="40"/>
      </w:rPr>
      <w:t>1</w:t>
    </w:r>
    <w:r w:rsidR="004031CE">
      <w:rPr>
        <w:rFonts w:ascii="Arial" w:hAnsi="Arial" w:cs="Arial"/>
        <w:color w:val="999999"/>
        <w:sz w:val="40"/>
        <w:szCs w:val="40"/>
      </w:rPr>
      <w:t>0</w:t>
    </w:r>
    <w:r w:rsidR="00055F86" w:rsidRPr="00193BF4">
      <w:rPr>
        <w:rFonts w:ascii="Arial" w:hAnsi="Arial" w:cs="Arial"/>
        <w:color w:val="999999"/>
        <w:sz w:val="40"/>
        <w:szCs w:val="40"/>
      </w:rPr>
      <w:t>. točka</w:t>
    </w:r>
  </w:p>
  <w:p w14:paraId="091409EE" w14:textId="77777777" w:rsidR="00100192" w:rsidRDefault="001001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D74CC"/>
    <w:multiLevelType w:val="hybridMultilevel"/>
    <w:tmpl w:val="94DADF6A"/>
    <w:lvl w:ilvl="0" w:tplc="84D8C4B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66BB"/>
    <w:multiLevelType w:val="hybridMultilevel"/>
    <w:tmpl w:val="E74293A4"/>
    <w:lvl w:ilvl="0" w:tplc="4D6481B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9118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22718">
    <w:abstractNumId w:val="0"/>
  </w:num>
  <w:num w:numId="3" w16cid:durableId="1645309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FD"/>
    <w:rsid w:val="00055F86"/>
    <w:rsid w:val="0009358B"/>
    <w:rsid w:val="000C7E36"/>
    <w:rsid w:val="000F20DF"/>
    <w:rsid w:val="000F6FB2"/>
    <w:rsid w:val="00100192"/>
    <w:rsid w:val="001063AE"/>
    <w:rsid w:val="00193BF4"/>
    <w:rsid w:val="00221511"/>
    <w:rsid w:val="0022404A"/>
    <w:rsid w:val="002460F3"/>
    <w:rsid w:val="002806AF"/>
    <w:rsid w:val="0028080B"/>
    <w:rsid w:val="0029796C"/>
    <w:rsid w:val="00336371"/>
    <w:rsid w:val="00370EEF"/>
    <w:rsid w:val="003775FD"/>
    <w:rsid w:val="003D090A"/>
    <w:rsid w:val="003D1590"/>
    <w:rsid w:val="003E0C1B"/>
    <w:rsid w:val="004031CE"/>
    <w:rsid w:val="00476A9A"/>
    <w:rsid w:val="004C5F73"/>
    <w:rsid w:val="0056229B"/>
    <w:rsid w:val="0058042A"/>
    <w:rsid w:val="005A3F9A"/>
    <w:rsid w:val="005A7A51"/>
    <w:rsid w:val="00714D95"/>
    <w:rsid w:val="007238D6"/>
    <w:rsid w:val="00751EB4"/>
    <w:rsid w:val="007A1EFB"/>
    <w:rsid w:val="007A4C60"/>
    <w:rsid w:val="00870E39"/>
    <w:rsid w:val="00933224"/>
    <w:rsid w:val="0099510B"/>
    <w:rsid w:val="00A030F8"/>
    <w:rsid w:val="00B00CC5"/>
    <w:rsid w:val="00B976E8"/>
    <w:rsid w:val="00BA6565"/>
    <w:rsid w:val="00C177C0"/>
    <w:rsid w:val="00C5759D"/>
    <w:rsid w:val="00C637F2"/>
    <w:rsid w:val="00C64EB0"/>
    <w:rsid w:val="00CA05D4"/>
    <w:rsid w:val="00CF6C9C"/>
    <w:rsid w:val="00D76478"/>
    <w:rsid w:val="00E10DD9"/>
    <w:rsid w:val="00E1481F"/>
    <w:rsid w:val="00E33B8D"/>
    <w:rsid w:val="00EC0A22"/>
    <w:rsid w:val="00F117FB"/>
    <w:rsid w:val="00F46F5B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85C78"/>
  <w15:chartTrackingRefBased/>
  <w15:docId w15:val="{D7BCC8C7-EE3A-4C51-B7C8-C169202F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75FD"/>
  </w:style>
  <w:style w:type="paragraph" w:customStyle="1" w:styleId="Default">
    <w:name w:val="Default"/>
    <w:rsid w:val="00B97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2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6</cp:revision>
  <cp:lastPrinted>2025-04-28T07:54:00Z</cp:lastPrinted>
  <dcterms:created xsi:type="dcterms:W3CDTF">2025-04-28T08:02:00Z</dcterms:created>
  <dcterms:modified xsi:type="dcterms:W3CDTF">2025-05-12T15:57:00Z</dcterms:modified>
</cp:coreProperties>
</file>