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9896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  <w:r w:rsidRPr="004B7CD1">
        <w:rPr>
          <w:rFonts w:eastAsia="Times New Roman" w:cs="Arial"/>
          <w:b/>
          <w:sz w:val="20"/>
          <w:szCs w:val="20"/>
          <w:lang w:eastAsia="sl-SI"/>
        </w:rPr>
        <w:t>OBČINA RENČE-VOGRSKO</w:t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  <w:t>PREDLOG</w:t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  <w:t xml:space="preserve">                  OBČINSKI SVET</w:t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sz w:val="20"/>
          <w:szCs w:val="20"/>
          <w:lang w:eastAsia="sl-SI"/>
        </w:rPr>
        <w:tab/>
      </w:r>
      <w:r w:rsidRPr="004B7CD1">
        <w:rPr>
          <w:rFonts w:eastAsia="Times New Roman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6172A727" w14:textId="77777777" w:rsidR="007D582F" w:rsidRPr="004B7CD1" w:rsidRDefault="007D582F" w:rsidP="007D582F">
      <w:pPr>
        <w:spacing w:after="0" w:line="240" w:lineRule="auto"/>
        <w:ind w:left="3540" w:firstLine="708"/>
        <w:jc w:val="both"/>
        <w:rPr>
          <w:rFonts w:eastAsia="Times New Roman" w:cs="Arial"/>
          <w:color w:val="FF0000"/>
          <w:sz w:val="18"/>
          <w:szCs w:val="18"/>
          <w:lang w:eastAsia="sl-SI"/>
        </w:rPr>
      </w:pPr>
      <w:r w:rsidRPr="004B7CD1">
        <w:rPr>
          <w:rFonts w:eastAsia="Times New Roman" w:cs="Arial"/>
          <w:color w:val="FF0000"/>
          <w:sz w:val="18"/>
          <w:szCs w:val="18"/>
          <w:lang w:eastAsia="sl-SI"/>
        </w:rPr>
        <w:t xml:space="preserve">               </w:t>
      </w:r>
    </w:p>
    <w:p w14:paraId="06837C42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7D429177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color w:val="FF0000"/>
          <w:szCs w:val="22"/>
          <w:lang w:eastAsia="sl-SI"/>
        </w:rPr>
      </w:pPr>
      <w:r w:rsidRPr="004B7CD1">
        <w:rPr>
          <w:rFonts w:eastAsia="Times New Roman" w:cs="Arial"/>
          <w:i/>
          <w:szCs w:val="22"/>
          <w:u w:val="single"/>
          <w:lang w:eastAsia="sl-SI"/>
        </w:rPr>
        <w:t>NASLOV:</w:t>
      </w:r>
      <w:r w:rsidRPr="004B7CD1">
        <w:rPr>
          <w:rFonts w:eastAsia="Times New Roman" w:cs="Arial"/>
          <w:szCs w:val="22"/>
          <w:lang w:eastAsia="sl-SI"/>
        </w:rPr>
        <w:t xml:space="preserve">  </w:t>
      </w:r>
    </w:p>
    <w:p w14:paraId="7DD389D9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375C4158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l-SI"/>
        </w:rPr>
      </w:pPr>
      <w:r>
        <w:rPr>
          <w:rFonts w:eastAsia="Times New Roman" w:cs="Arial"/>
          <w:b/>
          <w:sz w:val="28"/>
          <w:szCs w:val="28"/>
          <w:lang w:eastAsia="sl-SI"/>
        </w:rPr>
        <w:t>SKLEP O MANJŠI NOTRANJI IGRALNI POVRŠINI</w:t>
      </w:r>
      <w:r w:rsidRPr="004B7CD1">
        <w:rPr>
          <w:rFonts w:eastAsia="Times New Roman" w:cs="Arial"/>
          <w:b/>
          <w:sz w:val="28"/>
          <w:szCs w:val="28"/>
          <w:lang w:eastAsia="sl-SI"/>
        </w:rPr>
        <w:t xml:space="preserve"> V VRTCU PRI OŠ LUCIJANA BRATKOVIČA BRATUŠA RENČE</w:t>
      </w:r>
    </w:p>
    <w:p w14:paraId="69439C04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61C5377E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14:paraId="65EEC825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color w:val="FF0000"/>
          <w:szCs w:val="22"/>
          <w:lang w:eastAsia="sl-SI"/>
        </w:rPr>
      </w:pPr>
      <w:r w:rsidRPr="004B7CD1">
        <w:rPr>
          <w:rFonts w:eastAsia="Times New Roman" w:cs="Arial"/>
          <w:i/>
          <w:szCs w:val="22"/>
          <w:u w:val="single"/>
          <w:lang w:eastAsia="sl-SI"/>
        </w:rPr>
        <w:t>PRAVNA PODLAGA:</w:t>
      </w:r>
      <w:r w:rsidRPr="004B7CD1">
        <w:rPr>
          <w:rFonts w:eastAsia="Times New Roman" w:cs="Arial"/>
          <w:szCs w:val="22"/>
          <w:lang w:eastAsia="sl-SI"/>
        </w:rPr>
        <w:t xml:space="preserve">  </w:t>
      </w:r>
    </w:p>
    <w:p w14:paraId="14811873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75B061DC" w14:textId="76EA00E9" w:rsidR="007D582F" w:rsidRPr="002041B1" w:rsidRDefault="007D582F" w:rsidP="007D58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t xml:space="preserve">19. člen </w:t>
      </w:r>
      <w:r w:rsidRPr="00B85E6B">
        <w:t>Pravilnik</w:t>
      </w:r>
      <w:r>
        <w:t>a</w:t>
      </w:r>
      <w:r w:rsidRPr="00B85E6B">
        <w:t xml:space="preserve"> o normativih in minimalnih tehničnih pogojih za prostor in opremo vrtca </w:t>
      </w:r>
      <w:r w:rsidRPr="007D582F">
        <w:t>(Uradni list RS, št. 73/00, 75/05, 33/08, 126/08, 47/10, 47/13, 74/16 in 20/17)</w:t>
      </w:r>
    </w:p>
    <w:p w14:paraId="0A31EDC6" w14:textId="707CDC8E" w:rsidR="002041B1" w:rsidRPr="0006256B" w:rsidRDefault="002041B1" w:rsidP="0006256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t xml:space="preserve">22. člen </w:t>
      </w:r>
      <w:r>
        <w:rPr>
          <w:rFonts w:cs="Arial"/>
        </w:rPr>
        <w:t xml:space="preserve">Pravilnika </w:t>
      </w:r>
      <w:r>
        <w:t xml:space="preserve">o spremembah in dopolnitvah </w:t>
      </w:r>
      <w:r w:rsidRPr="00B85E6B">
        <w:t>Pravilnik</w:t>
      </w:r>
      <w:r>
        <w:t>a</w:t>
      </w:r>
      <w:r w:rsidRPr="00B85E6B">
        <w:t xml:space="preserve"> o normativih in minimalnih tehničnih pogojih za prostor in opremo vrtca</w:t>
      </w:r>
      <w:r>
        <w:t xml:space="preserve"> </w:t>
      </w:r>
      <w:r w:rsidR="0006256B" w:rsidRPr="007D582F">
        <w:t>(Uradni list RS, št. 47/13</w:t>
      </w:r>
      <w:r w:rsidR="0006256B">
        <w:t xml:space="preserve"> </w:t>
      </w:r>
      <w:r w:rsidR="0006256B" w:rsidRPr="007D582F">
        <w:t>in 20/17)</w:t>
      </w:r>
    </w:p>
    <w:p w14:paraId="35A9C41D" w14:textId="7FDBC878" w:rsidR="007D582F" w:rsidRPr="007D582F" w:rsidRDefault="007D582F" w:rsidP="007D58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7D582F">
        <w:rPr>
          <w:rFonts w:eastAsia="Times New Roman" w:cs="Arial"/>
          <w:szCs w:val="22"/>
          <w:lang w:eastAsia="sl-SI"/>
        </w:rPr>
        <w:t>18. člen Statuta Občine Renče-Vogrsko (Uradni list RS, št. 22/12 – uradno prečiščeno besedilo</w:t>
      </w:r>
      <w:r>
        <w:rPr>
          <w:rFonts w:eastAsia="Times New Roman" w:cs="Arial"/>
          <w:szCs w:val="22"/>
          <w:lang w:eastAsia="sl-SI"/>
        </w:rPr>
        <w:t>,</w:t>
      </w:r>
      <w:r w:rsidRPr="007D582F">
        <w:rPr>
          <w:rFonts w:eastAsia="Times New Roman" w:cs="Arial"/>
          <w:szCs w:val="22"/>
          <w:lang w:eastAsia="sl-SI"/>
        </w:rPr>
        <w:t xml:space="preserve"> 88/15</w:t>
      </w:r>
      <w:r>
        <w:rPr>
          <w:rFonts w:eastAsia="Times New Roman" w:cs="Arial"/>
          <w:szCs w:val="22"/>
          <w:lang w:eastAsia="sl-SI"/>
        </w:rPr>
        <w:t xml:space="preserve"> in 14/18</w:t>
      </w:r>
      <w:r w:rsidRPr="007D582F">
        <w:rPr>
          <w:rFonts w:eastAsia="Times New Roman" w:cs="Arial"/>
          <w:szCs w:val="22"/>
          <w:lang w:eastAsia="sl-SI"/>
        </w:rPr>
        <w:t>)</w:t>
      </w:r>
    </w:p>
    <w:p w14:paraId="4CD56C38" w14:textId="77777777" w:rsidR="007D582F" w:rsidRPr="00B85E6B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32A57876" w14:textId="77777777" w:rsidR="007D582F" w:rsidRPr="00B85E6B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110B11B9" w14:textId="77777777" w:rsidR="007D582F" w:rsidRPr="00B85E6B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B85E6B">
        <w:rPr>
          <w:rFonts w:eastAsia="Times New Roman" w:cs="Arial"/>
          <w:i/>
          <w:szCs w:val="22"/>
          <w:u w:val="single"/>
          <w:lang w:eastAsia="sl-SI"/>
        </w:rPr>
        <w:t>PREDLAGATELJ:</w:t>
      </w:r>
      <w:r w:rsidRPr="00B85E6B">
        <w:rPr>
          <w:rFonts w:eastAsia="Times New Roman" w:cs="Arial"/>
          <w:szCs w:val="22"/>
          <w:lang w:eastAsia="sl-SI"/>
        </w:rPr>
        <w:t xml:space="preserve">  </w:t>
      </w:r>
    </w:p>
    <w:p w14:paraId="70B3AB4A" w14:textId="77777777" w:rsidR="007D582F" w:rsidRPr="00B85E6B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37BF21DB" w14:textId="4CCAA7C8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Tarik Žigon</w:t>
      </w:r>
      <w:r w:rsidRPr="004B7CD1">
        <w:rPr>
          <w:rFonts w:eastAsia="Times New Roman" w:cs="Arial"/>
          <w:szCs w:val="22"/>
          <w:lang w:eastAsia="sl-SI"/>
        </w:rPr>
        <w:t>, Župan</w:t>
      </w:r>
    </w:p>
    <w:p w14:paraId="3A829EA8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400D738A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14:paraId="5F164D2C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 w:cs="Arial"/>
          <w:i/>
          <w:szCs w:val="22"/>
          <w:u w:val="single"/>
          <w:lang w:eastAsia="sl-SI"/>
        </w:rPr>
        <w:t>PRIPRAVLJALEC:</w:t>
      </w:r>
      <w:r w:rsidRPr="004B7CD1">
        <w:rPr>
          <w:rFonts w:eastAsia="Times New Roman" w:cs="Arial"/>
          <w:szCs w:val="22"/>
          <w:lang w:eastAsia="sl-SI"/>
        </w:rPr>
        <w:t xml:space="preserve"> </w:t>
      </w:r>
    </w:p>
    <w:p w14:paraId="759B7B3B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68D37600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 w:cs="Arial"/>
          <w:szCs w:val="22"/>
          <w:lang w:eastAsia="sl-SI"/>
        </w:rPr>
        <w:t xml:space="preserve">Župan, občinska uprava </w:t>
      </w:r>
    </w:p>
    <w:p w14:paraId="1362C9AD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4FDFA5FF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14:paraId="51F011A9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  <w:r w:rsidRPr="004B7CD1">
        <w:rPr>
          <w:rFonts w:eastAsia="Times New Roman" w:cs="Arial"/>
          <w:i/>
          <w:szCs w:val="22"/>
          <w:u w:val="single"/>
          <w:lang w:eastAsia="sl-SI"/>
        </w:rPr>
        <w:t xml:space="preserve">OBRAZLOŽITEV:  </w:t>
      </w:r>
    </w:p>
    <w:p w14:paraId="01E25B10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63CC200B" w14:textId="629A47A4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 w:cs="Arial"/>
          <w:szCs w:val="22"/>
          <w:lang w:eastAsia="sl-SI"/>
        </w:rPr>
        <w:t xml:space="preserve">Osnovna šola Lucijana Bratkoviča Bratuša Renče je na Občino Renče-Vogrsko </w:t>
      </w:r>
      <w:r>
        <w:rPr>
          <w:rFonts w:eastAsia="Times New Roman" w:cs="Arial"/>
          <w:szCs w:val="22"/>
          <w:lang w:eastAsia="sl-SI"/>
        </w:rPr>
        <w:t xml:space="preserve">dne 26. 5. 2021 </w:t>
      </w:r>
      <w:r w:rsidRPr="004B7CD1">
        <w:rPr>
          <w:rFonts w:eastAsia="Times New Roman" w:cs="Arial"/>
          <w:szCs w:val="22"/>
          <w:lang w:eastAsia="sl-SI"/>
        </w:rPr>
        <w:t xml:space="preserve">vložila </w:t>
      </w:r>
      <w:r>
        <w:rPr>
          <w:rFonts w:eastAsia="Times New Roman" w:cs="Arial"/>
          <w:szCs w:val="22"/>
          <w:lang w:eastAsia="sl-SI"/>
        </w:rPr>
        <w:t>predlog za sprejem sklepa o</w:t>
      </w:r>
      <w:r w:rsidRPr="004B7CD1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manjši notranji igralni površini</w:t>
      </w:r>
      <w:r w:rsidRPr="004B7CD1">
        <w:rPr>
          <w:rFonts w:eastAsia="Times New Roman" w:cs="Arial"/>
          <w:szCs w:val="22"/>
          <w:lang w:eastAsia="sl-SI"/>
        </w:rPr>
        <w:t xml:space="preserve"> v vrtcu pri OŠ Lucijana Bratkoviča Bratuša Renče.</w:t>
      </w:r>
    </w:p>
    <w:p w14:paraId="28F63EC9" w14:textId="77777777" w:rsidR="007D582F" w:rsidRPr="004B7CD1" w:rsidRDefault="007D582F" w:rsidP="007D5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09D36802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0E49D70B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4B7CD1">
        <w:rPr>
          <w:rFonts w:eastAsia="Times New Roman" w:cs="Arial"/>
          <w:i/>
          <w:szCs w:val="22"/>
          <w:u w:val="single"/>
          <w:lang w:eastAsia="sl-SI"/>
        </w:rPr>
        <w:t>RAZLOGI ZA SPREJETJE SKLEPA:</w:t>
      </w:r>
    </w:p>
    <w:p w14:paraId="41CB6AF5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33D3080E" w14:textId="77777777" w:rsidR="007D582F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V Vrtcu pri OŠ</w:t>
      </w:r>
      <w:r w:rsidRPr="00D60A06">
        <w:rPr>
          <w:rFonts w:eastAsia="Times New Roman" w:cs="Arial"/>
          <w:szCs w:val="22"/>
          <w:lang w:eastAsia="sl-SI"/>
        </w:rPr>
        <w:t xml:space="preserve"> </w:t>
      </w:r>
      <w:r w:rsidRPr="004B7CD1">
        <w:rPr>
          <w:rFonts w:eastAsia="Times New Roman" w:cs="Arial"/>
          <w:szCs w:val="22"/>
          <w:lang w:eastAsia="sl-SI"/>
        </w:rPr>
        <w:t>Lucijana Bratkoviča Bratuša Renče</w:t>
      </w:r>
      <w:r>
        <w:rPr>
          <w:rFonts w:eastAsia="Times New Roman" w:cs="Arial"/>
          <w:szCs w:val="22"/>
          <w:lang w:eastAsia="sl-SI"/>
        </w:rPr>
        <w:t xml:space="preserve"> (v nadaljevanju Vrtec)</w:t>
      </w:r>
      <w:r w:rsidRPr="004B7CD1">
        <w:rPr>
          <w:rFonts w:eastAsia="Times New Roman" w:cs="Arial"/>
          <w:szCs w:val="22"/>
          <w:lang w:eastAsia="sl-SI"/>
        </w:rPr>
        <w:t xml:space="preserve"> je na </w:t>
      </w:r>
      <w:r>
        <w:rPr>
          <w:rFonts w:eastAsia="Times New Roman" w:cs="Arial"/>
          <w:szCs w:val="22"/>
          <w:lang w:eastAsia="sl-SI"/>
        </w:rPr>
        <w:t>otroka zagotovljena manjša notranja igralna površina, kot je predpisana.</w:t>
      </w:r>
    </w:p>
    <w:p w14:paraId="41E8CCC4" w14:textId="77777777" w:rsidR="007D582F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1519F0AA" w14:textId="267B4E42" w:rsidR="004E41B7" w:rsidRPr="004E41B7" w:rsidRDefault="007D582F" w:rsidP="004E41B7">
      <w:pPr>
        <w:spacing w:after="0" w:line="240" w:lineRule="auto"/>
        <w:jc w:val="both"/>
        <w:rPr>
          <w:rFonts w:cs="Arial"/>
        </w:rPr>
      </w:pPr>
      <w:r w:rsidRPr="00D60A06">
        <w:rPr>
          <w:rFonts w:eastAsia="Times New Roman" w:cs="Arial"/>
          <w:szCs w:val="22"/>
          <w:lang w:eastAsia="sl-SI"/>
        </w:rPr>
        <w:t xml:space="preserve">Veljavni Pravilnik </w:t>
      </w:r>
      <w:r w:rsidRPr="00D60A06">
        <w:rPr>
          <w:rFonts w:cs="Arial"/>
        </w:rPr>
        <w:t xml:space="preserve">o normativih in minimalnih tehničnih pogojih za prostor in opremo vrtca </w:t>
      </w:r>
      <w:r>
        <w:rPr>
          <w:rFonts w:cs="Arial"/>
        </w:rPr>
        <w:t>(</w:t>
      </w:r>
      <w:r w:rsidRPr="00D60A06">
        <w:rPr>
          <w:rFonts w:cs="Arial"/>
        </w:rPr>
        <w:t>v nadaljevanju Pravilnik</w:t>
      </w:r>
      <w:r>
        <w:rPr>
          <w:rFonts w:cs="Arial"/>
        </w:rPr>
        <w:t>)</w:t>
      </w:r>
      <w:r w:rsidRPr="00D60A06">
        <w:rPr>
          <w:rFonts w:cs="Arial"/>
        </w:rPr>
        <w:t xml:space="preserve">, namreč v 19. členu določa igralne površine v vrtcih tako, da se mora na otroka zagotoviti praviloma 4 m², vendar ne manj kot 3 m² notranje igralne površine. </w:t>
      </w:r>
      <w:r>
        <w:rPr>
          <w:rFonts w:cs="Arial"/>
        </w:rPr>
        <w:t xml:space="preserve">To določbo nadalje opredeljuje Pravilnik </w:t>
      </w:r>
      <w:r>
        <w:t xml:space="preserve">o spremembah in dopolnitvah </w:t>
      </w:r>
      <w:r w:rsidRPr="00B85E6B">
        <w:t>Pravilnik</w:t>
      </w:r>
      <w:r>
        <w:t>a</w:t>
      </w:r>
      <w:r w:rsidRPr="00B85E6B">
        <w:t xml:space="preserve"> o normativih in minimalnih tehničnih pogojih za prostor in opremo vrtca</w:t>
      </w:r>
      <w:r>
        <w:t xml:space="preserve">, ki v 22. členu </w:t>
      </w:r>
      <w:r w:rsidR="004E41B7">
        <w:t>(</w:t>
      </w:r>
      <w:r w:rsidR="004E41B7" w:rsidRPr="004E41B7">
        <w:rPr>
          <w:rFonts w:cs="Arial"/>
        </w:rPr>
        <w:t xml:space="preserve">pogoji za odstopanje od normativa predpisane igralne površine na otroka) </w:t>
      </w:r>
      <w:r w:rsidR="004E41B7">
        <w:rPr>
          <w:rFonts w:cs="Arial"/>
        </w:rPr>
        <w:t xml:space="preserve">določa: </w:t>
      </w:r>
      <w:r w:rsidR="004E41B7" w:rsidRPr="004E41B7">
        <w:rPr>
          <w:rFonts w:cs="Arial"/>
        </w:rPr>
        <w:t xml:space="preserve">»Za javne vrtce in zasebne vrtce s koncesijo, ki zaradi zagotovitve notranje igralne površine, določene v 19. členu pravilnika, ne bi mogli sprejeti vseh vpisanih otrok, lahko občina ustanoviteljica oziroma občina </w:t>
      </w:r>
      <w:proofErr w:type="spellStart"/>
      <w:r w:rsidR="004E41B7" w:rsidRPr="004E41B7">
        <w:rPr>
          <w:rFonts w:cs="Arial"/>
        </w:rPr>
        <w:t>koncendentka</w:t>
      </w:r>
      <w:proofErr w:type="spellEnd"/>
      <w:r w:rsidR="004E41B7" w:rsidRPr="004E41B7">
        <w:rPr>
          <w:rFonts w:cs="Arial"/>
        </w:rPr>
        <w:t xml:space="preserve"> sprejme sklep o manjši notranji igralni površini, vendar ne manjši od 3 m</w:t>
      </w:r>
      <w:r w:rsidR="004E41B7">
        <w:rPr>
          <w:rFonts w:cs="Arial"/>
        </w:rPr>
        <w:t>²</w:t>
      </w:r>
      <w:r w:rsidR="004E41B7" w:rsidRPr="004E41B7">
        <w:rPr>
          <w:rFonts w:cs="Arial"/>
        </w:rPr>
        <w:t xml:space="preserve"> na otroka za otroke do drugega leta starosti, 2,6 m</w:t>
      </w:r>
      <w:r w:rsidR="004E41B7">
        <w:rPr>
          <w:rFonts w:cs="Arial"/>
        </w:rPr>
        <w:t>²</w:t>
      </w:r>
      <w:r w:rsidR="004E41B7" w:rsidRPr="004E41B7">
        <w:rPr>
          <w:rFonts w:cs="Arial"/>
        </w:rPr>
        <w:t xml:space="preserve"> na otroka za otroke od drugega do tretjega leta starosti in 1,75 m</w:t>
      </w:r>
      <w:r w:rsidR="004E41B7">
        <w:rPr>
          <w:rFonts w:cs="Arial"/>
        </w:rPr>
        <w:t xml:space="preserve">² </w:t>
      </w:r>
      <w:r w:rsidR="004E41B7" w:rsidRPr="004E41B7">
        <w:rPr>
          <w:rFonts w:cs="Arial"/>
        </w:rPr>
        <w:t xml:space="preserve">na otroka za otroke od tretjega leta starosti do vstopa v šolo. K sklepu </w:t>
      </w:r>
      <w:r w:rsidR="004E41B7" w:rsidRPr="004E41B7">
        <w:rPr>
          <w:rFonts w:cs="Arial"/>
        </w:rPr>
        <w:lastRenderedPageBreak/>
        <w:t>si mora pridobiti soglasje ministra, pristojnega za področje predšolske vzgoje, ki velja za dve šolski leti. Odstopanje od normativa lahko traja najdlje do 1. septembra 2023.</w:t>
      </w:r>
    </w:p>
    <w:p w14:paraId="1F326EFE" w14:textId="77777777" w:rsidR="004E41B7" w:rsidRPr="004E41B7" w:rsidRDefault="004E41B7" w:rsidP="004E41B7">
      <w:pPr>
        <w:spacing w:after="0" w:line="240" w:lineRule="auto"/>
        <w:jc w:val="both"/>
        <w:rPr>
          <w:rFonts w:cs="Arial"/>
        </w:rPr>
      </w:pPr>
      <w:r w:rsidRPr="004E41B7">
        <w:rPr>
          <w:rFonts w:cs="Arial"/>
        </w:rPr>
        <w:t>Minister, pristojen za področje predšolske vzgoje, izda soglasje iz prejšnjega odstavka na podlagi vloge, iz katere so razvidni podatki o notranji igralni površini za posamezen vrtec, če sta izpolnjena naslednja pogoja:</w:t>
      </w:r>
    </w:p>
    <w:p w14:paraId="6CD8D9D1" w14:textId="77777777" w:rsidR="004E41B7" w:rsidRPr="004E41B7" w:rsidRDefault="004E41B7" w:rsidP="004E41B7">
      <w:pPr>
        <w:spacing w:after="0" w:line="240" w:lineRule="auto"/>
        <w:jc w:val="both"/>
        <w:rPr>
          <w:rFonts w:cs="Arial"/>
        </w:rPr>
      </w:pPr>
      <w:r w:rsidRPr="004E41B7">
        <w:rPr>
          <w:rFonts w:cs="Arial"/>
        </w:rPr>
        <w:t>– vrtec ima zaradi pomanjkanja prostora odklonjene otroke,</w:t>
      </w:r>
    </w:p>
    <w:p w14:paraId="56291512" w14:textId="77777777" w:rsidR="004E41B7" w:rsidRDefault="004E41B7" w:rsidP="004E41B7">
      <w:pPr>
        <w:spacing w:after="0" w:line="240" w:lineRule="auto"/>
        <w:jc w:val="both"/>
        <w:rPr>
          <w:rFonts w:cs="Arial"/>
        </w:rPr>
      </w:pPr>
      <w:r w:rsidRPr="004E41B7">
        <w:rPr>
          <w:rFonts w:cs="Arial"/>
        </w:rPr>
        <w:t>– občina ima sprejet dokument, ki vključuje načrt aktivnosti za zagotovitev predpisane igralne površine, določene v 19. členu pravilnika, ki vključuje opredelitev ciljnega datuma in načrtovan delež vključenih otrok v vrtce.«.</w:t>
      </w:r>
    </w:p>
    <w:p w14:paraId="1E869B62" w14:textId="77777777" w:rsidR="007D582F" w:rsidRDefault="007D582F" w:rsidP="007D582F">
      <w:pPr>
        <w:spacing w:after="0" w:line="240" w:lineRule="auto"/>
        <w:jc w:val="both"/>
        <w:rPr>
          <w:rFonts w:cs="Arial"/>
        </w:rPr>
      </w:pPr>
    </w:p>
    <w:p w14:paraId="2D03C3B0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4B7CD1">
        <w:rPr>
          <w:rFonts w:eastAsia="Times New Roman" w:cs="Arial"/>
          <w:i/>
          <w:szCs w:val="22"/>
          <w:u w:val="single"/>
          <w:lang w:eastAsia="sl-SI"/>
        </w:rPr>
        <w:t>OCENA STANJA:</w:t>
      </w:r>
    </w:p>
    <w:p w14:paraId="0476FC8D" w14:textId="77777777" w:rsidR="007D582F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63C356E2" w14:textId="07C93FB5" w:rsidR="007D582F" w:rsidRDefault="007D582F" w:rsidP="007D582F">
      <w:pPr>
        <w:spacing w:after="0" w:line="240" w:lineRule="auto"/>
        <w:jc w:val="both"/>
        <w:rPr>
          <w:rFonts w:cs="Arial"/>
        </w:rPr>
      </w:pPr>
      <w:r w:rsidRPr="00D60A06">
        <w:rPr>
          <w:rFonts w:cs="Arial"/>
        </w:rPr>
        <w:t xml:space="preserve">V Vrtcu je na otroka zaradi prostorske stiske zagotovljene </w:t>
      </w:r>
      <w:r w:rsidR="0006256B">
        <w:rPr>
          <w:rFonts w:cs="Arial"/>
        </w:rPr>
        <w:t xml:space="preserve">povprečno </w:t>
      </w:r>
      <w:r w:rsidRPr="00D60A06">
        <w:rPr>
          <w:rFonts w:cs="Arial"/>
        </w:rPr>
        <w:t>manj kot 3 m² notranje igralne površine</w:t>
      </w:r>
      <w:r w:rsidR="0006256B">
        <w:rPr>
          <w:rFonts w:cs="Arial"/>
        </w:rPr>
        <w:t xml:space="preserve">; v Vrtcu Renče znaša dejanska </w:t>
      </w:r>
      <w:bookmarkStart w:id="0" w:name="_Hlk74037549"/>
      <w:r w:rsidR="0006256B">
        <w:rPr>
          <w:rFonts w:cs="Arial"/>
        </w:rPr>
        <w:t xml:space="preserve">notranja igralna površina </w:t>
      </w:r>
      <w:bookmarkEnd w:id="0"/>
      <w:r w:rsidR="0006256B">
        <w:rPr>
          <w:rFonts w:cs="Arial"/>
        </w:rPr>
        <w:t xml:space="preserve">povprečno 2,49 </w:t>
      </w:r>
      <w:r w:rsidR="0006256B" w:rsidRPr="004E41B7">
        <w:rPr>
          <w:rFonts w:cs="Arial"/>
        </w:rPr>
        <w:t>m</w:t>
      </w:r>
      <w:r w:rsidR="0006256B">
        <w:rPr>
          <w:rFonts w:cs="Arial"/>
        </w:rPr>
        <w:t xml:space="preserve">² na otroka, v oddelku vrtca v prostorih osnovne šole </w:t>
      </w:r>
      <w:r w:rsidR="004E59E4">
        <w:rPr>
          <w:rFonts w:cs="Arial"/>
        </w:rPr>
        <w:t xml:space="preserve">2,17 </w:t>
      </w:r>
      <w:r w:rsidR="004E59E4" w:rsidRPr="004E41B7">
        <w:rPr>
          <w:rFonts w:cs="Arial"/>
        </w:rPr>
        <w:t>m</w:t>
      </w:r>
      <w:r w:rsidR="004E59E4">
        <w:rPr>
          <w:rFonts w:cs="Arial"/>
        </w:rPr>
        <w:t xml:space="preserve">² na otroka, Vrtcu Bukovica 2,07 </w:t>
      </w:r>
      <w:r w:rsidR="004E59E4" w:rsidRPr="004E41B7">
        <w:rPr>
          <w:rFonts w:cs="Arial"/>
        </w:rPr>
        <w:t>m</w:t>
      </w:r>
      <w:r w:rsidR="004E59E4">
        <w:rPr>
          <w:rFonts w:cs="Arial"/>
        </w:rPr>
        <w:t xml:space="preserve">² na otroka in v oddelku vrtca v POŠ Bukovica 2,21 </w:t>
      </w:r>
      <w:r w:rsidR="004E59E4" w:rsidRPr="004E41B7">
        <w:rPr>
          <w:rFonts w:cs="Arial"/>
        </w:rPr>
        <w:t>m</w:t>
      </w:r>
      <w:r w:rsidR="004E59E4">
        <w:rPr>
          <w:rFonts w:cs="Arial"/>
        </w:rPr>
        <w:t xml:space="preserve">². </w:t>
      </w:r>
      <w:r>
        <w:rPr>
          <w:rFonts w:cs="Arial"/>
        </w:rPr>
        <w:t>Če bi Vrtec upošteval predpisano notranjo igralno površino, bi moral zaradi pomanjkanja prostora odkloniti več otrok</w:t>
      </w:r>
      <w:r w:rsidR="004E59E4">
        <w:rPr>
          <w:rFonts w:cs="Arial"/>
        </w:rPr>
        <w:t xml:space="preserve">. </w:t>
      </w:r>
      <w:r>
        <w:rPr>
          <w:rFonts w:cs="Arial"/>
        </w:rPr>
        <w:t xml:space="preserve">Občina </w:t>
      </w:r>
      <w:r w:rsidR="004E59E4">
        <w:rPr>
          <w:rFonts w:cs="Arial"/>
        </w:rPr>
        <w:t xml:space="preserve">sicer </w:t>
      </w:r>
      <w:r>
        <w:rPr>
          <w:rFonts w:cs="Arial"/>
        </w:rPr>
        <w:t xml:space="preserve">izvaja aktivnosti za zagotovitev dodatnih mest v vrtcu (šolski prostori, ki se nahajajo ob vrtcu, so se preoblikovali v prostore, primerne za predšolsko vzgojo, </w:t>
      </w:r>
      <w:r w:rsidR="004E59E4">
        <w:rPr>
          <w:rFonts w:cs="Arial"/>
        </w:rPr>
        <w:t>v prostorih v Bukovici pa se načrtuje širitev prostorov), bi</w:t>
      </w:r>
      <w:r>
        <w:rPr>
          <w:rFonts w:cs="Arial"/>
        </w:rPr>
        <w:t xml:space="preserve"> </w:t>
      </w:r>
      <w:r w:rsidR="004E59E4">
        <w:rPr>
          <w:rFonts w:cs="Arial"/>
        </w:rPr>
        <w:t xml:space="preserve">Vrtec moral </w:t>
      </w:r>
      <w:r>
        <w:rPr>
          <w:rFonts w:cs="Arial"/>
        </w:rPr>
        <w:t>upošteva</w:t>
      </w:r>
      <w:r w:rsidR="004E59E4">
        <w:rPr>
          <w:rFonts w:cs="Arial"/>
        </w:rPr>
        <w:t>ti</w:t>
      </w:r>
      <w:r>
        <w:rPr>
          <w:rFonts w:cs="Arial"/>
        </w:rPr>
        <w:t xml:space="preserve"> manjšo igralno površino na otroka, kot to določa Pravilnik, </w:t>
      </w:r>
      <w:r w:rsidR="004E59E4">
        <w:rPr>
          <w:rFonts w:cs="Arial"/>
        </w:rPr>
        <w:t xml:space="preserve">da bi </w:t>
      </w:r>
      <w:r>
        <w:rPr>
          <w:rFonts w:cs="Arial"/>
        </w:rPr>
        <w:t>lahko vpisal vse otroke</w:t>
      </w:r>
      <w:r w:rsidR="00CC062A">
        <w:rPr>
          <w:rFonts w:cs="Arial"/>
        </w:rPr>
        <w:t>, za katere so starši oddali vpisnice.</w:t>
      </w:r>
    </w:p>
    <w:p w14:paraId="57E8F5A4" w14:textId="77777777" w:rsidR="007D582F" w:rsidRDefault="007D582F" w:rsidP="007D582F">
      <w:pPr>
        <w:spacing w:after="0" w:line="240" w:lineRule="auto"/>
        <w:jc w:val="both"/>
        <w:rPr>
          <w:rFonts w:cs="Arial"/>
        </w:rPr>
      </w:pPr>
    </w:p>
    <w:p w14:paraId="1F2470BE" w14:textId="77777777" w:rsidR="007D582F" w:rsidRPr="0009113F" w:rsidRDefault="007D582F" w:rsidP="007D582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 primeru sprejetja sklepa bo Občina na ministrstvo, pristojno za predšolsko vzgojo, naslovila vlogo z zaprosilom, da poda soglasje k temu sklepu, z obrazložitvijo, kot je navedena v prejšnjem odstavku.</w:t>
      </w:r>
    </w:p>
    <w:p w14:paraId="5405EC88" w14:textId="77777777" w:rsidR="007D582F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02501080" w14:textId="335DC493" w:rsidR="007D582F" w:rsidRDefault="00CC062A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 xml:space="preserve">Obrazložitev s predstavitvijo podatkov o kvadraturi in dejanski </w:t>
      </w:r>
      <w:r>
        <w:rPr>
          <w:rFonts w:cs="Arial"/>
        </w:rPr>
        <w:t>notranji igralni površini</w:t>
      </w:r>
      <w:r w:rsidR="007D582F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 xml:space="preserve">za </w:t>
      </w:r>
      <w:r w:rsidR="007D582F">
        <w:rPr>
          <w:rFonts w:eastAsia="Times New Roman" w:cs="Arial"/>
          <w:szCs w:val="22"/>
          <w:lang w:eastAsia="sl-SI"/>
        </w:rPr>
        <w:t>vse prostor</w:t>
      </w:r>
      <w:r>
        <w:rPr>
          <w:rFonts w:eastAsia="Times New Roman" w:cs="Arial"/>
          <w:szCs w:val="22"/>
          <w:lang w:eastAsia="sl-SI"/>
        </w:rPr>
        <w:t>e</w:t>
      </w:r>
      <w:r w:rsidR="007D582F">
        <w:rPr>
          <w:rFonts w:eastAsia="Times New Roman" w:cs="Arial"/>
          <w:szCs w:val="22"/>
          <w:lang w:eastAsia="sl-SI"/>
        </w:rPr>
        <w:t xml:space="preserve"> obeh enot Vrtca pri Osnovni šoli Lucijana Bratkoviča Bratuša</w:t>
      </w:r>
      <w:r>
        <w:rPr>
          <w:rFonts w:eastAsia="Times New Roman" w:cs="Arial"/>
          <w:szCs w:val="22"/>
          <w:lang w:eastAsia="sl-SI"/>
        </w:rPr>
        <w:t xml:space="preserve"> (v Renčah in Bukovici)</w:t>
      </w:r>
      <w:r w:rsidR="007D582F">
        <w:rPr>
          <w:rFonts w:eastAsia="Times New Roman" w:cs="Arial"/>
          <w:szCs w:val="22"/>
          <w:lang w:eastAsia="sl-SI"/>
        </w:rPr>
        <w:t xml:space="preserve">, iz katere je razvidna dejanska notranja igralna površina na otroka, ki bo sestavni del sklepa, </w:t>
      </w:r>
      <w:r>
        <w:rPr>
          <w:rFonts w:eastAsia="Times New Roman" w:cs="Arial"/>
          <w:szCs w:val="22"/>
          <w:lang w:eastAsia="sl-SI"/>
        </w:rPr>
        <w:t>je priložena temu gradivu</w:t>
      </w:r>
      <w:r w:rsidR="007D582F">
        <w:rPr>
          <w:rFonts w:eastAsia="Times New Roman" w:cs="Arial"/>
          <w:szCs w:val="22"/>
          <w:lang w:eastAsia="sl-SI"/>
        </w:rPr>
        <w:t xml:space="preserve">. </w:t>
      </w:r>
    </w:p>
    <w:p w14:paraId="5495B1FA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0DD9957F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6F48F32A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4B7CD1">
        <w:rPr>
          <w:rFonts w:eastAsia="Times New Roman" w:cs="Arial"/>
          <w:i/>
          <w:szCs w:val="22"/>
          <w:u w:val="single"/>
          <w:lang w:eastAsia="sl-SI"/>
        </w:rPr>
        <w:t>CILJI IN NAČELA:</w:t>
      </w:r>
    </w:p>
    <w:p w14:paraId="5CA57DC7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53D72E4F" w14:textId="6CC5D0DA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Zagotovi</w:t>
      </w:r>
      <w:r w:rsidR="00CC062A">
        <w:rPr>
          <w:rFonts w:eastAsia="Times New Roman" w:cs="Arial"/>
          <w:szCs w:val="22"/>
          <w:lang w:eastAsia="sl-SI"/>
        </w:rPr>
        <w:t>t</w:t>
      </w:r>
      <w:r>
        <w:rPr>
          <w:rFonts w:eastAsia="Times New Roman" w:cs="Arial"/>
          <w:szCs w:val="22"/>
          <w:lang w:eastAsia="sl-SI"/>
        </w:rPr>
        <w:t>i je potrebno vključitev vseh vpisanih otrok, ki živijo na območju šolskega okoliša OŠ Lucijana Bratkoviča Bratuša,</w:t>
      </w:r>
      <w:r w:rsidRPr="004B7CD1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zato predlagamo Občinskemu svetu, da sprejme sklep o manjši igralni notranji površini na otroka.</w:t>
      </w:r>
    </w:p>
    <w:p w14:paraId="01185F93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1F1739D6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59127965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4B7CD1">
        <w:rPr>
          <w:rFonts w:eastAsia="Times New Roman" w:cs="Arial"/>
          <w:i/>
          <w:szCs w:val="22"/>
          <w:u w:val="single"/>
          <w:lang w:eastAsia="sl-SI"/>
        </w:rPr>
        <w:t>FINANČNE IN DRUGE POSLEDICE:</w:t>
      </w:r>
    </w:p>
    <w:p w14:paraId="34C7F4F1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760C8A3A" w14:textId="77777777" w:rsidR="007D582F" w:rsidRPr="004B7CD1" w:rsidRDefault="007D582F" w:rsidP="007D582F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"/>
          <w:szCs w:val="22"/>
        </w:rPr>
      </w:pPr>
      <w:r w:rsidRPr="004B7CD1">
        <w:rPr>
          <w:rFonts w:eastAsia="Times New Roman" w:cs="Arial"/>
          <w:szCs w:val="22"/>
          <w:lang w:eastAsia="sl-SI"/>
        </w:rPr>
        <w:t>Finančne in druge posledice so podo</w:t>
      </w:r>
      <w:r>
        <w:rPr>
          <w:rFonts w:eastAsia="Times New Roman" w:cs="Arial"/>
          <w:szCs w:val="22"/>
          <w:lang w:eastAsia="sl-SI"/>
        </w:rPr>
        <w:t>bne kot v tekočem šolskem letu (tekoče ustrezno urejanje prostorov in opreme v posameznih igralnicah glede na starost otrok).</w:t>
      </w:r>
    </w:p>
    <w:p w14:paraId="5A1FDA9D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1312A981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4DFD85FD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4B7CD1">
        <w:rPr>
          <w:rFonts w:eastAsia="Times New Roman" w:cs="Arial"/>
          <w:sz w:val="20"/>
          <w:szCs w:val="20"/>
          <w:lang w:eastAsia="sl-SI"/>
        </w:rPr>
        <w:t>Pripravila:</w:t>
      </w:r>
    </w:p>
    <w:p w14:paraId="120A29BB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4B7CD1">
        <w:rPr>
          <w:rFonts w:eastAsia="Times New Roman" w:cs="Arial"/>
          <w:sz w:val="20"/>
          <w:szCs w:val="20"/>
          <w:lang w:eastAsia="sl-SI"/>
        </w:rPr>
        <w:t xml:space="preserve">Vladka Gal </w:t>
      </w:r>
      <w:proofErr w:type="spellStart"/>
      <w:r w:rsidRPr="004B7CD1">
        <w:rPr>
          <w:rFonts w:eastAsia="Times New Roman" w:cs="Arial"/>
          <w:sz w:val="20"/>
          <w:szCs w:val="20"/>
          <w:lang w:eastAsia="sl-SI"/>
        </w:rPr>
        <w:t>Janeš</w:t>
      </w:r>
      <w:proofErr w:type="spellEnd"/>
    </w:p>
    <w:p w14:paraId="2AEFB736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4B7CD1">
        <w:rPr>
          <w:rFonts w:eastAsia="Times New Roman" w:cs="Arial"/>
          <w:sz w:val="20"/>
          <w:szCs w:val="20"/>
          <w:lang w:eastAsia="sl-SI"/>
        </w:rPr>
        <w:t>Višja svetovalka I za družbene dejavnosti</w:t>
      </w:r>
    </w:p>
    <w:p w14:paraId="49546902" w14:textId="77777777" w:rsidR="007D582F" w:rsidRPr="004B7CD1" w:rsidRDefault="007D582F" w:rsidP="007D582F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  <w:r w:rsidRPr="004B7CD1">
        <w:rPr>
          <w:rFonts w:ascii="Times New Roman" w:eastAsia="Times New Roman" w:hAnsi="Times New Roman"/>
          <w:sz w:val="24"/>
          <w:lang w:eastAsia="sl-SI"/>
        </w:rPr>
        <w:t>_______________________________________________________________</w:t>
      </w:r>
    </w:p>
    <w:p w14:paraId="464D5C20" w14:textId="77777777" w:rsidR="007D582F" w:rsidRPr="004B7CD1" w:rsidRDefault="007D582F" w:rsidP="007D582F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</w:p>
    <w:p w14:paraId="20D40EC5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 w:cs="Arial"/>
          <w:szCs w:val="22"/>
          <w:lang w:eastAsia="sl-SI"/>
        </w:rPr>
        <w:t>Predlog sklepa:</w:t>
      </w:r>
    </w:p>
    <w:p w14:paraId="02475890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061D3A3F" w14:textId="16E92E45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/>
          <w:szCs w:val="22"/>
          <w:lang w:eastAsia="sl-SI"/>
        </w:rPr>
        <w:t xml:space="preserve">Na podlagi </w:t>
      </w:r>
      <w:r>
        <w:t xml:space="preserve">22. člena Pravilnika o spremembah in dopolnitvah </w:t>
      </w:r>
      <w:r w:rsidRPr="00B85E6B">
        <w:t>Pravilnik</w:t>
      </w:r>
      <w:r>
        <w:t>a</w:t>
      </w:r>
      <w:r w:rsidRPr="00B85E6B">
        <w:t xml:space="preserve"> o normativih in minimalnih tehničnih pogojih za prostor in opremo vrtca (Uradni list RS, št. </w:t>
      </w:r>
      <w:hyperlink r:id="rId7" w:tgtFrame="_blank" w:tooltip="Pravilnik o spremembah in dopolnitvah Pravilnika o normativih in minimalnih tehničnih pogojih za prostor in opremo vrtca" w:history="1">
        <w:r w:rsidRPr="00B85E6B">
          <w:t>47/13</w:t>
        </w:r>
      </w:hyperlink>
      <w:r w:rsidR="00CC062A">
        <w:t xml:space="preserve"> in 20/17</w:t>
      </w:r>
      <w:r w:rsidRPr="00B85E6B">
        <w:t>)</w:t>
      </w:r>
      <w:r w:rsidRPr="004B7CD1">
        <w:rPr>
          <w:rFonts w:eastAsia="Times New Roman" w:cs="Arial"/>
          <w:szCs w:val="22"/>
          <w:lang w:eastAsia="sl-SI"/>
        </w:rPr>
        <w:t xml:space="preserve"> in</w:t>
      </w:r>
      <w:r w:rsidRPr="004B7CD1">
        <w:rPr>
          <w:rFonts w:eastAsia="Times New Roman"/>
          <w:szCs w:val="22"/>
          <w:lang w:eastAsia="sl-SI"/>
        </w:rPr>
        <w:t xml:space="preserve"> 18. člena Statuta Občine Renče-Vogrsko (Uradni list RS, št. 22/12 – uradno prečiščeno </w:t>
      </w:r>
      <w:r w:rsidRPr="004B7CD1">
        <w:rPr>
          <w:rFonts w:eastAsia="Times New Roman"/>
          <w:szCs w:val="22"/>
          <w:lang w:eastAsia="sl-SI"/>
        </w:rPr>
        <w:lastRenderedPageBreak/>
        <w:t>besedilo</w:t>
      </w:r>
      <w:r w:rsidR="00CC062A">
        <w:rPr>
          <w:rFonts w:eastAsia="Times New Roman"/>
          <w:szCs w:val="22"/>
          <w:lang w:eastAsia="sl-SI"/>
        </w:rPr>
        <w:t>,</w:t>
      </w:r>
      <w:r>
        <w:rPr>
          <w:rFonts w:eastAsia="Times New Roman"/>
          <w:szCs w:val="22"/>
          <w:lang w:eastAsia="sl-SI"/>
        </w:rPr>
        <w:t xml:space="preserve"> 88/15</w:t>
      </w:r>
      <w:r w:rsidR="00CC062A">
        <w:rPr>
          <w:rFonts w:eastAsia="Times New Roman"/>
          <w:szCs w:val="22"/>
          <w:lang w:eastAsia="sl-SI"/>
        </w:rPr>
        <w:t xml:space="preserve"> in 14/18</w:t>
      </w:r>
      <w:r w:rsidRPr="004B7CD1">
        <w:rPr>
          <w:rFonts w:eastAsia="Times New Roman"/>
          <w:szCs w:val="22"/>
          <w:lang w:eastAsia="sl-SI"/>
        </w:rPr>
        <w:t>) je Občinski svet Občine Renče-Vogrsko na ___. redni seji, dne ______ sprejel</w:t>
      </w:r>
    </w:p>
    <w:p w14:paraId="2A5043A1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643F3F8F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697637DC" w14:textId="77777777" w:rsidR="007D582F" w:rsidRPr="004B7CD1" w:rsidRDefault="007D582F" w:rsidP="007D582F">
      <w:pPr>
        <w:keepNext/>
        <w:spacing w:before="240" w:after="60" w:line="240" w:lineRule="auto"/>
        <w:jc w:val="center"/>
        <w:outlineLvl w:val="3"/>
        <w:rPr>
          <w:rFonts w:eastAsia="Times New Roman" w:cs="Arial"/>
          <w:b/>
          <w:bCs/>
          <w:szCs w:val="22"/>
          <w:lang w:eastAsia="sl-SI"/>
        </w:rPr>
      </w:pPr>
      <w:r w:rsidRPr="004B7CD1">
        <w:rPr>
          <w:rFonts w:eastAsia="Times New Roman" w:cs="Arial"/>
          <w:b/>
          <w:bCs/>
          <w:szCs w:val="22"/>
          <w:lang w:eastAsia="sl-SI"/>
        </w:rPr>
        <w:t>S K L E P</w:t>
      </w:r>
    </w:p>
    <w:p w14:paraId="7749F272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6AE70575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3BC9580F" w14:textId="77777777" w:rsidR="007D582F" w:rsidRPr="004B7CD1" w:rsidRDefault="007D582F" w:rsidP="007D582F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 w:cs="Arial"/>
          <w:szCs w:val="22"/>
          <w:lang w:eastAsia="sl-SI"/>
        </w:rPr>
        <w:t>1.</w:t>
      </w:r>
    </w:p>
    <w:p w14:paraId="36440959" w14:textId="09A77BEC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 xml:space="preserve">Za zagotovitev dodatnih prostih mest v obeh enotah Vrtca pri Osnovni šoli Lucijana Bratkoviča Bratuša se uporabijo manjše igralne površine na otroka, kot to določa 19. člen Pravilnika </w:t>
      </w:r>
      <w:r w:rsidRPr="00D60A06">
        <w:rPr>
          <w:rFonts w:cs="Arial"/>
        </w:rPr>
        <w:t>o normativih in minimalnih tehničnih pogojih za prostor in opremo vrtca</w:t>
      </w:r>
      <w:r w:rsidR="00CC062A">
        <w:rPr>
          <w:rFonts w:cs="Arial"/>
        </w:rPr>
        <w:t>.</w:t>
      </w:r>
    </w:p>
    <w:p w14:paraId="6B276343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6117E990" w14:textId="77777777" w:rsidR="007D582F" w:rsidRPr="004B7CD1" w:rsidRDefault="007D582F" w:rsidP="007D582F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 w:cs="Arial"/>
          <w:szCs w:val="22"/>
          <w:lang w:eastAsia="sl-SI"/>
        </w:rPr>
        <w:t>2.</w:t>
      </w:r>
    </w:p>
    <w:p w14:paraId="6D682CA0" w14:textId="6D00273C" w:rsidR="007D582F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Sestavni del tega sklepa je seznam vseh prostorov obeh enot Vrtca pri Osnovni šoli Lucijana Bratkoviča Bratuša, iz katerega je razvidna dejanska notranja igralna površina na otroka</w:t>
      </w:r>
      <w:r w:rsidR="00CC062A">
        <w:rPr>
          <w:rFonts w:eastAsia="Times New Roman" w:cs="Arial"/>
          <w:szCs w:val="22"/>
          <w:lang w:eastAsia="sl-SI"/>
        </w:rPr>
        <w:t>.</w:t>
      </w:r>
    </w:p>
    <w:p w14:paraId="5084E4DE" w14:textId="77777777" w:rsidR="007D582F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154D0479" w14:textId="0A37887D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 xml:space="preserve">Sklep velja za </w:t>
      </w:r>
      <w:r w:rsidR="00CC062A">
        <w:rPr>
          <w:rFonts w:eastAsia="Times New Roman" w:cs="Arial"/>
          <w:szCs w:val="22"/>
          <w:lang w:eastAsia="sl-SI"/>
        </w:rPr>
        <w:t>notranje igralne površine</w:t>
      </w:r>
      <w:r>
        <w:rPr>
          <w:rFonts w:eastAsia="Times New Roman" w:cs="Arial"/>
          <w:szCs w:val="22"/>
          <w:lang w:eastAsia="sl-SI"/>
        </w:rPr>
        <w:t>, ki ne izpolnjujejo predpisanih notranjih površin.</w:t>
      </w:r>
    </w:p>
    <w:p w14:paraId="46B1580B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1C8B7FC8" w14:textId="77777777" w:rsidR="007D582F" w:rsidRPr="004B7CD1" w:rsidRDefault="007D582F" w:rsidP="007D582F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 w:cs="Arial"/>
          <w:szCs w:val="22"/>
          <w:lang w:eastAsia="sl-SI"/>
        </w:rPr>
        <w:t>3.</w:t>
      </w:r>
    </w:p>
    <w:p w14:paraId="2EB1D0B5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b/>
          <w:szCs w:val="22"/>
          <w:lang w:eastAsia="sl-SI"/>
        </w:rPr>
      </w:pPr>
      <w:r w:rsidRPr="004B7CD1">
        <w:rPr>
          <w:rFonts w:eastAsia="Times New Roman" w:cs="Arial"/>
          <w:szCs w:val="22"/>
          <w:lang w:eastAsia="sl-SI"/>
        </w:rPr>
        <w:t xml:space="preserve">Ta sklep prične veljati </w:t>
      </w:r>
      <w:r>
        <w:rPr>
          <w:rFonts w:eastAsia="Times New Roman" w:cs="Arial"/>
          <w:szCs w:val="22"/>
          <w:lang w:eastAsia="sl-SI"/>
        </w:rPr>
        <w:t>naslednji dan po objavi v Uradnih objavah v Občinskem listu, uporabljati pa se prične z dnem izdaje soglasja ministra, pristojnega za področje predšolske vzgoje.</w:t>
      </w:r>
    </w:p>
    <w:p w14:paraId="76A07A4E" w14:textId="77777777" w:rsidR="007D582F" w:rsidRDefault="007D582F" w:rsidP="007D582F">
      <w:pPr>
        <w:spacing w:after="0" w:line="240" w:lineRule="auto"/>
        <w:rPr>
          <w:rFonts w:eastAsia="Times New Roman" w:cs="Arial"/>
          <w:b/>
          <w:szCs w:val="22"/>
          <w:lang w:eastAsia="sl-SI"/>
        </w:rPr>
      </w:pPr>
      <w:r w:rsidRPr="004B7CD1">
        <w:rPr>
          <w:rFonts w:eastAsia="Times New Roman" w:cs="Arial"/>
          <w:b/>
          <w:szCs w:val="22"/>
          <w:lang w:eastAsia="sl-SI"/>
        </w:rPr>
        <w:tab/>
      </w:r>
      <w:r w:rsidRPr="004B7CD1">
        <w:rPr>
          <w:rFonts w:eastAsia="Times New Roman" w:cs="Arial"/>
          <w:b/>
          <w:szCs w:val="22"/>
          <w:lang w:eastAsia="sl-SI"/>
        </w:rPr>
        <w:tab/>
      </w:r>
    </w:p>
    <w:p w14:paraId="0580F847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 w:cs="Arial"/>
          <w:b/>
          <w:szCs w:val="22"/>
          <w:lang w:eastAsia="sl-SI"/>
        </w:rPr>
        <w:tab/>
      </w:r>
      <w:r w:rsidRPr="004B7CD1">
        <w:rPr>
          <w:rFonts w:eastAsia="Times New Roman" w:cs="Arial"/>
          <w:b/>
          <w:szCs w:val="22"/>
          <w:lang w:eastAsia="sl-SI"/>
        </w:rPr>
        <w:tab/>
      </w:r>
      <w:r w:rsidRPr="004B7CD1">
        <w:rPr>
          <w:rFonts w:eastAsia="Times New Roman" w:cs="Arial"/>
          <w:b/>
          <w:szCs w:val="22"/>
          <w:lang w:eastAsia="sl-SI"/>
        </w:rPr>
        <w:tab/>
      </w:r>
      <w:r w:rsidRPr="004B7CD1">
        <w:rPr>
          <w:rFonts w:eastAsia="Times New Roman" w:cs="Arial"/>
          <w:b/>
          <w:szCs w:val="22"/>
          <w:lang w:eastAsia="sl-SI"/>
        </w:rPr>
        <w:tab/>
      </w:r>
      <w:r w:rsidRPr="004B7CD1">
        <w:rPr>
          <w:rFonts w:eastAsia="Times New Roman" w:cs="Arial"/>
          <w:b/>
          <w:szCs w:val="22"/>
          <w:lang w:eastAsia="sl-SI"/>
        </w:rPr>
        <w:tab/>
      </w:r>
      <w:r w:rsidRPr="004B7CD1">
        <w:rPr>
          <w:rFonts w:eastAsia="Times New Roman" w:cs="Arial"/>
          <w:b/>
          <w:szCs w:val="22"/>
          <w:lang w:eastAsia="sl-SI"/>
        </w:rPr>
        <w:tab/>
      </w:r>
      <w:r w:rsidRPr="004B7CD1">
        <w:rPr>
          <w:rFonts w:eastAsia="Times New Roman" w:cs="Arial"/>
          <w:b/>
          <w:szCs w:val="22"/>
          <w:lang w:eastAsia="sl-SI"/>
        </w:rPr>
        <w:tab/>
      </w:r>
      <w:r w:rsidRPr="004B7CD1">
        <w:rPr>
          <w:rFonts w:eastAsia="Times New Roman" w:cs="Arial"/>
          <w:b/>
          <w:szCs w:val="22"/>
          <w:lang w:eastAsia="sl-SI"/>
        </w:rPr>
        <w:tab/>
      </w:r>
    </w:p>
    <w:p w14:paraId="3FC16BAC" w14:textId="793F57D4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4B7CD1">
        <w:rPr>
          <w:rFonts w:eastAsia="Times New Roman" w:cs="Arial"/>
          <w:szCs w:val="22"/>
          <w:lang w:eastAsia="sl-SI"/>
        </w:rPr>
        <w:t>Številka:</w:t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  <w:t xml:space="preserve">          </w:t>
      </w:r>
      <w:r w:rsidR="00026C7F">
        <w:rPr>
          <w:rFonts w:eastAsia="Times New Roman" w:cs="Arial"/>
          <w:szCs w:val="22"/>
          <w:lang w:eastAsia="sl-SI"/>
        </w:rPr>
        <w:t>Tarik Žigon, l. r.</w:t>
      </w:r>
    </w:p>
    <w:p w14:paraId="7A4C81F1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Bukovica,</w:t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</w:r>
      <w:r w:rsidRPr="004B7CD1">
        <w:rPr>
          <w:rFonts w:eastAsia="Times New Roman" w:cs="Arial"/>
          <w:szCs w:val="22"/>
          <w:lang w:eastAsia="sl-SI"/>
        </w:rPr>
        <w:tab/>
        <w:t xml:space="preserve">  Župan</w:t>
      </w:r>
    </w:p>
    <w:p w14:paraId="6422004C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0772464B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45FF6730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72268243" w14:textId="77777777" w:rsidR="007D582F" w:rsidRPr="004B7CD1" w:rsidRDefault="007D582F" w:rsidP="007D582F">
      <w:pPr>
        <w:spacing w:after="0" w:line="240" w:lineRule="auto"/>
        <w:jc w:val="center"/>
        <w:rPr>
          <w:rFonts w:ascii="Garamond" w:eastAsia="Times New Roman" w:hAnsi="Garamond"/>
          <w:b/>
          <w:sz w:val="24"/>
          <w:lang w:eastAsia="sl-SI"/>
        </w:rPr>
      </w:pPr>
    </w:p>
    <w:p w14:paraId="4A603EC6" w14:textId="77777777" w:rsidR="007D582F" w:rsidRPr="004B7CD1" w:rsidRDefault="007D582F" w:rsidP="007D582F">
      <w:pPr>
        <w:spacing w:after="0" w:line="240" w:lineRule="auto"/>
        <w:jc w:val="center"/>
        <w:rPr>
          <w:rFonts w:ascii="Garamond" w:eastAsia="Times New Roman" w:hAnsi="Garamond"/>
          <w:b/>
          <w:sz w:val="24"/>
          <w:lang w:eastAsia="sl-SI"/>
        </w:rPr>
      </w:pPr>
    </w:p>
    <w:p w14:paraId="69550446" w14:textId="77777777" w:rsidR="007D582F" w:rsidRPr="004B7CD1" w:rsidRDefault="007D582F" w:rsidP="007D582F">
      <w:pPr>
        <w:spacing w:after="0" w:line="240" w:lineRule="auto"/>
        <w:jc w:val="center"/>
        <w:rPr>
          <w:rFonts w:ascii="Garamond" w:eastAsia="Times New Roman" w:hAnsi="Garamond"/>
          <w:b/>
          <w:sz w:val="24"/>
          <w:lang w:eastAsia="sl-SI"/>
        </w:rPr>
      </w:pPr>
    </w:p>
    <w:p w14:paraId="7D91E32B" w14:textId="77777777" w:rsidR="007D582F" w:rsidRPr="004B7CD1" w:rsidRDefault="007D582F" w:rsidP="007D582F">
      <w:pPr>
        <w:spacing w:after="0" w:line="240" w:lineRule="auto"/>
        <w:jc w:val="center"/>
        <w:rPr>
          <w:rFonts w:ascii="Garamond" w:eastAsia="Times New Roman" w:hAnsi="Garamond"/>
          <w:b/>
          <w:sz w:val="24"/>
          <w:lang w:eastAsia="sl-SI"/>
        </w:rPr>
      </w:pPr>
    </w:p>
    <w:p w14:paraId="60C4DE7B" w14:textId="77777777" w:rsidR="007D582F" w:rsidRPr="004B7CD1" w:rsidRDefault="007D582F" w:rsidP="007D582F">
      <w:pPr>
        <w:spacing w:after="0" w:line="240" w:lineRule="auto"/>
        <w:jc w:val="center"/>
        <w:rPr>
          <w:rFonts w:ascii="Garamond" w:eastAsia="Times New Roman" w:hAnsi="Garamond"/>
          <w:b/>
          <w:sz w:val="24"/>
          <w:lang w:eastAsia="sl-SI"/>
        </w:rPr>
      </w:pPr>
    </w:p>
    <w:p w14:paraId="7B980A3E" w14:textId="77777777" w:rsidR="007D582F" w:rsidRPr="004B7CD1" w:rsidRDefault="007D582F" w:rsidP="007D582F">
      <w:pPr>
        <w:spacing w:after="0" w:line="240" w:lineRule="auto"/>
        <w:jc w:val="center"/>
        <w:rPr>
          <w:rFonts w:ascii="Garamond" w:eastAsia="Times New Roman" w:hAnsi="Garamond"/>
          <w:b/>
          <w:sz w:val="24"/>
          <w:lang w:eastAsia="sl-SI"/>
        </w:rPr>
      </w:pPr>
    </w:p>
    <w:p w14:paraId="12CDEC81" w14:textId="77777777" w:rsidR="007D582F" w:rsidRPr="004B7CD1" w:rsidRDefault="007D582F" w:rsidP="007D582F">
      <w:pPr>
        <w:spacing w:after="0" w:line="240" w:lineRule="auto"/>
        <w:jc w:val="center"/>
        <w:rPr>
          <w:rFonts w:ascii="Garamond" w:eastAsia="Times New Roman" w:hAnsi="Garamond"/>
          <w:b/>
          <w:sz w:val="24"/>
          <w:lang w:eastAsia="sl-SI"/>
        </w:rPr>
      </w:pPr>
    </w:p>
    <w:p w14:paraId="00F6CDA2" w14:textId="77777777" w:rsidR="007D582F" w:rsidRPr="004B7CD1" w:rsidRDefault="007D582F" w:rsidP="007D582F">
      <w:pPr>
        <w:spacing w:after="0" w:line="240" w:lineRule="auto"/>
        <w:jc w:val="center"/>
        <w:rPr>
          <w:rFonts w:ascii="Garamond" w:eastAsia="Times New Roman" w:hAnsi="Garamond"/>
          <w:b/>
          <w:sz w:val="24"/>
          <w:lang w:eastAsia="sl-SI"/>
        </w:rPr>
      </w:pPr>
    </w:p>
    <w:p w14:paraId="173B7F3E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608D3AA0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250EEDF2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48CB2897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34E1143B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39D1DA13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42A7DF0C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3D24A886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4261FC5D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441B53E7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676E8FC5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178E6404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4C9FB310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25A53CD6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4F1BB748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75532151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11320A4D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47C1F8C6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7771A4BC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2DF22F4B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3F0D2298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75F4EC98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50257915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48A2E9D4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2CF143A2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3EBC5A9E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5AED4526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5B82B645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40974B62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0733D209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6A0D582B" w14:textId="77777777" w:rsidR="007D582F" w:rsidRPr="004B7CD1" w:rsidRDefault="007D582F" w:rsidP="007D582F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1CFC4C9B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161387C4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064C1930" w14:textId="77777777" w:rsidR="007D582F" w:rsidRPr="004B7CD1" w:rsidRDefault="007D582F" w:rsidP="007D582F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306EF5A5" w14:textId="77777777" w:rsidR="007D582F" w:rsidRPr="004B7CD1" w:rsidRDefault="007D582F" w:rsidP="007D582F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</w:p>
    <w:p w14:paraId="2BD27F0E" w14:textId="77777777" w:rsidR="007D582F" w:rsidRPr="004B7CD1" w:rsidRDefault="007D582F" w:rsidP="007D582F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</w:p>
    <w:p w14:paraId="51BC2F59" w14:textId="77777777" w:rsidR="00C5759D" w:rsidRDefault="00C5759D"/>
    <w:sectPr w:rsidR="00C575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1E68" w14:textId="77777777" w:rsidR="00E5719B" w:rsidRDefault="00E5719B" w:rsidP="00E5719B">
      <w:pPr>
        <w:spacing w:after="0" w:line="240" w:lineRule="auto"/>
      </w:pPr>
      <w:r>
        <w:separator/>
      </w:r>
    </w:p>
  </w:endnote>
  <w:endnote w:type="continuationSeparator" w:id="0">
    <w:p w14:paraId="0921AB10" w14:textId="77777777" w:rsidR="00E5719B" w:rsidRDefault="00E5719B" w:rsidP="00E5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8143" w14:textId="77777777" w:rsidR="00E5719B" w:rsidRDefault="00E5719B" w:rsidP="00E5719B">
      <w:pPr>
        <w:spacing w:after="0" w:line="240" w:lineRule="auto"/>
      </w:pPr>
      <w:r>
        <w:separator/>
      </w:r>
    </w:p>
  </w:footnote>
  <w:footnote w:type="continuationSeparator" w:id="0">
    <w:p w14:paraId="3DC81DE5" w14:textId="77777777" w:rsidR="00E5719B" w:rsidRDefault="00E5719B" w:rsidP="00E5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5203" w14:textId="37B19AC5" w:rsidR="00E5719B" w:rsidRPr="00E001A8" w:rsidRDefault="00E5719B" w:rsidP="00E5719B">
    <w:pPr>
      <w:pStyle w:val="Glava"/>
      <w:jc w:val="right"/>
      <w:rPr>
        <w:color w:val="999999"/>
        <w:sz w:val="40"/>
        <w:szCs w:val="40"/>
      </w:rPr>
    </w:pPr>
    <w:r>
      <w:rPr>
        <w:color w:val="999999"/>
        <w:sz w:val="40"/>
        <w:szCs w:val="40"/>
      </w:rPr>
      <w:t>19</w:t>
    </w:r>
    <w:r w:rsidRPr="00E001A8">
      <w:rPr>
        <w:color w:val="999999"/>
        <w:sz w:val="40"/>
        <w:szCs w:val="40"/>
      </w:rPr>
      <w:t xml:space="preserve">. </w:t>
    </w:r>
    <w:r w:rsidRPr="00E001A8">
      <w:rPr>
        <w:color w:val="999999"/>
        <w:sz w:val="40"/>
        <w:szCs w:val="40"/>
      </w:rPr>
      <w:t>redna seja</w:t>
    </w:r>
    <w:r w:rsidRPr="00E001A8">
      <w:rPr>
        <w:color w:val="999999"/>
        <w:sz w:val="40"/>
        <w:szCs w:val="40"/>
      </w:rPr>
      <w:tab/>
    </w:r>
    <w:r w:rsidRPr="00E001A8">
      <w:rPr>
        <w:color w:val="999999"/>
        <w:sz w:val="40"/>
        <w:szCs w:val="40"/>
      </w:rPr>
      <w:tab/>
    </w:r>
    <w:r>
      <w:rPr>
        <w:color w:val="999999"/>
        <w:sz w:val="40"/>
        <w:szCs w:val="40"/>
      </w:rPr>
      <w:t>1</w:t>
    </w:r>
    <w:r w:rsidR="00A57E68">
      <w:rPr>
        <w:color w:val="999999"/>
        <w:sz w:val="40"/>
        <w:szCs w:val="40"/>
      </w:rPr>
      <w:t>2</w:t>
    </w:r>
    <w:r w:rsidRPr="00E001A8">
      <w:rPr>
        <w:color w:val="999999"/>
        <w:sz w:val="40"/>
        <w:szCs w:val="40"/>
      </w:rPr>
      <w:t>. točka</w:t>
    </w:r>
  </w:p>
  <w:p w14:paraId="18A6D7E3" w14:textId="77777777" w:rsidR="00E5719B" w:rsidRDefault="00E571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2F"/>
    <w:rsid w:val="00026C7F"/>
    <w:rsid w:val="0006256B"/>
    <w:rsid w:val="002041B1"/>
    <w:rsid w:val="004E41B7"/>
    <w:rsid w:val="004E59E4"/>
    <w:rsid w:val="007D582F"/>
    <w:rsid w:val="00A57E68"/>
    <w:rsid w:val="00C5759D"/>
    <w:rsid w:val="00CC062A"/>
    <w:rsid w:val="00E5719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A7D4"/>
  <w15:chartTrackingRefBased/>
  <w15:docId w15:val="{CCABF322-A2AF-4AB7-9D95-C6488068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582F"/>
    <w:pPr>
      <w:spacing w:after="200" w:line="276" w:lineRule="auto"/>
    </w:pPr>
    <w:rPr>
      <w:rFonts w:ascii="Arial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582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5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719B"/>
    <w:rPr>
      <w:rFonts w:ascii="Arial" w:hAnsi="Arial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E5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719B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3-01-1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5</cp:revision>
  <cp:lastPrinted>2021-06-08T06:53:00Z</cp:lastPrinted>
  <dcterms:created xsi:type="dcterms:W3CDTF">2021-06-07T13:40:00Z</dcterms:created>
  <dcterms:modified xsi:type="dcterms:W3CDTF">2021-06-15T16:10:00Z</dcterms:modified>
</cp:coreProperties>
</file>