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D88" w:rsidRPr="00C11D88" w:rsidRDefault="00C11D88" w:rsidP="00C11D88">
      <w:pPr>
        <w:spacing w:line="240" w:lineRule="auto"/>
        <w:rPr>
          <w:rFonts w:eastAsia="Times New Roman"/>
          <w:b/>
          <w:sz w:val="20"/>
          <w:szCs w:val="20"/>
          <w:lang w:eastAsia="sl-SI"/>
        </w:rPr>
      </w:pPr>
      <w:r w:rsidRPr="00C11D88">
        <w:rPr>
          <w:rFonts w:eastAsia="Times New Roman"/>
          <w:b/>
          <w:sz w:val="20"/>
          <w:szCs w:val="20"/>
          <w:lang w:eastAsia="sl-SI"/>
        </w:rPr>
        <w:t>OBČINA RENČE-VOGRSKO</w:t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  <w:t xml:space="preserve">     PREDLOG                </w:t>
      </w:r>
    </w:p>
    <w:p w:rsidR="00C11D88" w:rsidRPr="00C11D88" w:rsidRDefault="00C11D88" w:rsidP="00C11D88">
      <w:pPr>
        <w:spacing w:line="240" w:lineRule="auto"/>
        <w:rPr>
          <w:rFonts w:eastAsia="Times New Roman"/>
          <w:b/>
          <w:color w:val="000000"/>
          <w:sz w:val="20"/>
          <w:szCs w:val="20"/>
          <w:lang w:eastAsia="sl-SI"/>
        </w:rPr>
      </w:pPr>
      <w:r w:rsidRPr="00C11D88">
        <w:rPr>
          <w:rFonts w:eastAsia="Times New Roman"/>
          <w:b/>
          <w:sz w:val="20"/>
          <w:szCs w:val="20"/>
          <w:lang w:eastAsia="sl-SI"/>
        </w:rPr>
        <w:t>OBČINSKI SVET</w:t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sz w:val="20"/>
          <w:szCs w:val="20"/>
          <w:lang w:eastAsia="sl-SI"/>
        </w:rPr>
        <w:tab/>
      </w:r>
      <w:r w:rsidRPr="00C11D88">
        <w:rPr>
          <w:rFonts w:eastAsia="Times New Roman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C11D88" w:rsidRPr="00C11D88" w:rsidRDefault="00C11D88" w:rsidP="00C11D88">
      <w:pPr>
        <w:spacing w:line="240" w:lineRule="auto"/>
        <w:ind w:left="3540" w:firstLine="708"/>
        <w:rPr>
          <w:rFonts w:eastAsia="Times New Roman"/>
          <w:color w:val="FF0000"/>
          <w:sz w:val="18"/>
          <w:szCs w:val="18"/>
          <w:lang w:eastAsia="sl-SI"/>
        </w:rPr>
      </w:pPr>
      <w:r w:rsidRPr="00C11D88">
        <w:rPr>
          <w:rFonts w:eastAsia="Times New Roman"/>
          <w:color w:val="FF0000"/>
          <w:sz w:val="18"/>
          <w:szCs w:val="18"/>
          <w:lang w:eastAsia="sl-SI"/>
        </w:rPr>
        <w:t xml:space="preserve">               </w:t>
      </w:r>
    </w:p>
    <w:p w:rsidR="00C11D88" w:rsidRPr="00C11D88" w:rsidRDefault="00C11D88" w:rsidP="00C11D88">
      <w:pPr>
        <w:spacing w:line="240" w:lineRule="auto"/>
        <w:rPr>
          <w:rFonts w:eastAsia="Times New Roman"/>
          <w:lang w:eastAsia="sl-SI"/>
        </w:rPr>
      </w:pPr>
    </w:p>
    <w:p w:rsidR="00C11D88" w:rsidRPr="00C11D88" w:rsidRDefault="00C11D88" w:rsidP="00C11D88">
      <w:pPr>
        <w:spacing w:line="240" w:lineRule="auto"/>
        <w:rPr>
          <w:rFonts w:eastAsia="Times New Roman"/>
          <w:color w:val="FF0000"/>
          <w:lang w:eastAsia="sl-SI"/>
        </w:rPr>
      </w:pPr>
      <w:r w:rsidRPr="00C11D88">
        <w:rPr>
          <w:rFonts w:eastAsia="Times New Roman"/>
          <w:i/>
          <w:u w:val="single"/>
          <w:lang w:eastAsia="sl-SI"/>
        </w:rPr>
        <w:t>NASLOV:</w:t>
      </w:r>
      <w:r w:rsidRPr="00C11D88">
        <w:rPr>
          <w:rFonts w:eastAsia="Times New Roman"/>
          <w:lang w:eastAsia="sl-SI"/>
        </w:rPr>
        <w:t xml:space="preserve">  </w:t>
      </w: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C11D88" w:rsidRDefault="003921F4" w:rsidP="00FE5E48">
      <w:pPr>
        <w:spacing w:line="240" w:lineRule="auto"/>
        <w:rPr>
          <w:rFonts w:eastAsia="Times New Roman"/>
          <w:b/>
          <w:sz w:val="28"/>
          <w:szCs w:val="28"/>
          <w:lang w:eastAsia="sl-SI"/>
        </w:rPr>
      </w:pPr>
      <w:r>
        <w:rPr>
          <w:rFonts w:eastAsia="Times New Roman"/>
          <w:b/>
          <w:sz w:val="28"/>
          <w:szCs w:val="28"/>
          <w:lang w:eastAsia="sl-SI"/>
        </w:rPr>
        <w:t>SKLEP O POTRDITVI ELABORATA O OBLIKOVANJU CEN</w:t>
      </w:r>
      <w:r w:rsidR="0018345A">
        <w:rPr>
          <w:rFonts w:eastAsia="Times New Roman"/>
          <w:b/>
          <w:sz w:val="28"/>
          <w:szCs w:val="28"/>
          <w:lang w:eastAsia="sl-SI"/>
        </w:rPr>
        <w:t xml:space="preserve"> STORITEV</w:t>
      </w:r>
      <w:r>
        <w:rPr>
          <w:rFonts w:eastAsia="Times New Roman"/>
          <w:b/>
          <w:sz w:val="28"/>
          <w:szCs w:val="28"/>
          <w:lang w:eastAsia="sl-SI"/>
        </w:rPr>
        <w:t xml:space="preserve"> GJS</w:t>
      </w:r>
      <w:r w:rsidR="0018345A">
        <w:rPr>
          <w:rFonts w:eastAsia="Times New Roman"/>
          <w:b/>
          <w:sz w:val="28"/>
          <w:szCs w:val="28"/>
          <w:lang w:eastAsia="sl-SI"/>
        </w:rPr>
        <w:t xml:space="preserve"> S PODROČJA </w:t>
      </w:r>
      <w:r>
        <w:rPr>
          <w:rFonts w:eastAsia="Times New Roman"/>
          <w:b/>
          <w:sz w:val="28"/>
          <w:szCs w:val="28"/>
          <w:lang w:eastAsia="sl-SI"/>
        </w:rPr>
        <w:t xml:space="preserve"> RAVNANJA </w:t>
      </w:r>
      <w:r w:rsidR="00E93550">
        <w:rPr>
          <w:rFonts w:eastAsia="Times New Roman"/>
          <w:b/>
          <w:sz w:val="28"/>
          <w:szCs w:val="28"/>
          <w:lang w:eastAsia="sl-SI"/>
        </w:rPr>
        <w:t>S KOMUNALNIMI</w:t>
      </w:r>
      <w:r>
        <w:rPr>
          <w:rFonts w:eastAsia="Times New Roman"/>
          <w:b/>
          <w:sz w:val="28"/>
          <w:szCs w:val="28"/>
          <w:lang w:eastAsia="sl-SI"/>
        </w:rPr>
        <w:t xml:space="preserve"> ODPADKI</w:t>
      </w: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C11D88" w:rsidRDefault="00C11D88" w:rsidP="00C11D88">
      <w:pPr>
        <w:spacing w:line="240" w:lineRule="auto"/>
        <w:rPr>
          <w:rFonts w:eastAsia="Times New Roman"/>
          <w:color w:val="FF0000"/>
          <w:lang w:eastAsia="sl-SI"/>
        </w:rPr>
      </w:pPr>
      <w:r w:rsidRPr="00C11D88">
        <w:rPr>
          <w:rFonts w:eastAsia="Times New Roman"/>
          <w:i/>
          <w:u w:val="single"/>
          <w:lang w:eastAsia="sl-SI"/>
        </w:rPr>
        <w:t>PRAVNA PODLAGA:</w:t>
      </w:r>
      <w:r w:rsidRPr="00C11D88">
        <w:rPr>
          <w:rFonts w:eastAsia="Times New Roman"/>
          <w:lang w:eastAsia="sl-SI"/>
        </w:rPr>
        <w:t xml:space="preserve">  </w:t>
      </w:r>
    </w:p>
    <w:p w:rsidR="00C11D88" w:rsidRPr="00C11D88" w:rsidRDefault="00C11D88" w:rsidP="00C11D88">
      <w:pPr>
        <w:spacing w:line="240" w:lineRule="auto"/>
        <w:rPr>
          <w:rFonts w:eastAsia="Times New Roman"/>
          <w:lang w:eastAsia="sl-SI"/>
        </w:rPr>
      </w:pPr>
    </w:p>
    <w:p w:rsidR="00C11D88" w:rsidRDefault="00C11D88" w:rsidP="00C11D88">
      <w:pPr>
        <w:numPr>
          <w:ilvl w:val="0"/>
          <w:numId w:val="4"/>
        </w:numPr>
        <w:spacing w:line="240" w:lineRule="auto"/>
        <w:rPr>
          <w:rFonts w:eastAsia="Times New Roman"/>
          <w:lang w:eastAsia="sl-SI"/>
        </w:rPr>
      </w:pPr>
      <w:r w:rsidRPr="00C11D88">
        <w:rPr>
          <w:rFonts w:eastAsia="Times New Roman"/>
          <w:lang w:eastAsia="sl-SI"/>
        </w:rPr>
        <w:t>18. člen Statuta Občine Renče-Vogrsko (Uradni list RS, št. 22/12 – uradno prečiščeno besedilo</w:t>
      </w:r>
      <w:r w:rsidR="00606BA2">
        <w:rPr>
          <w:rFonts w:eastAsia="Times New Roman"/>
          <w:lang w:eastAsia="sl-SI"/>
        </w:rPr>
        <w:t xml:space="preserve">, 88/15 </w:t>
      </w:r>
      <w:r w:rsidR="00346208">
        <w:rPr>
          <w:rFonts w:eastAsia="Times New Roman"/>
          <w:lang w:eastAsia="sl-SI"/>
        </w:rPr>
        <w:t>in</w:t>
      </w:r>
      <w:r w:rsidR="00606BA2">
        <w:rPr>
          <w:rFonts w:eastAsia="Times New Roman"/>
          <w:lang w:eastAsia="sl-SI"/>
        </w:rPr>
        <w:t xml:space="preserve"> 14/18</w:t>
      </w:r>
      <w:r w:rsidRPr="00C11D88">
        <w:rPr>
          <w:rFonts w:eastAsia="Times New Roman"/>
          <w:lang w:eastAsia="sl-SI"/>
        </w:rPr>
        <w:t>),</w:t>
      </w:r>
    </w:p>
    <w:p w:rsidR="00B278AF" w:rsidRDefault="00B278AF" w:rsidP="00B278AF">
      <w:pPr>
        <w:numPr>
          <w:ilvl w:val="0"/>
          <w:numId w:val="4"/>
        </w:numPr>
        <w:spacing w:line="240" w:lineRule="auto"/>
      </w:pPr>
      <w:r w:rsidRPr="000E6885">
        <w:t>5. člen Uredbe o metodologiji za oblikovanje cen storitev obveznih občinskih gospodarskih javnih služb varstva okolja (Uradni list RS, št. 87/12 in 109/12)</w:t>
      </w: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C11D88" w:rsidRDefault="00C11D88" w:rsidP="00C11D88">
      <w:pPr>
        <w:spacing w:line="240" w:lineRule="auto"/>
        <w:rPr>
          <w:rFonts w:eastAsia="Times New Roman"/>
          <w:color w:val="FF0000"/>
          <w:lang w:eastAsia="sl-SI"/>
        </w:rPr>
      </w:pPr>
      <w:r w:rsidRPr="00C11D88">
        <w:rPr>
          <w:rFonts w:eastAsia="Times New Roman"/>
          <w:i/>
          <w:u w:val="single"/>
          <w:lang w:eastAsia="sl-SI"/>
        </w:rPr>
        <w:t>PREDLAGATELJ:</w:t>
      </w:r>
      <w:r w:rsidRPr="00C11D88">
        <w:rPr>
          <w:rFonts w:eastAsia="Times New Roman"/>
          <w:lang w:eastAsia="sl-SI"/>
        </w:rPr>
        <w:t xml:space="preserve">  </w:t>
      </w:r>
    </w:p>
    <w:p w:rsidR="00C11D88" w:rsidRPr="00C11D88" w:rsidRDefault="009E33F3" w:rsidP="00C11D88">
      <w:pPr>
        <w:spacing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Komunala Nova Gorica d.d.</w:t>
      </w: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C11D88" w:rsidRDefault="00C11D88" w:rsidP="00C11D88">
      <w:pPr>
        <w:spacing w:line="240" w:lineRule="auto"/>
        <w:rPr>
          <w:rFonts w:eastAsia="Times New Roman"/>
          <w:lang w:eastAsia="sl-SI"/>
        </w:rPr>
      </w:pPr>
      <w:r w:rsidRPr="00C11D88">
        <w:rPr>
          <w:rFonts w:eastAsia="Times New Roman"/>
          <w:i/>
          <w:u w:val="single"/>
          <w:lang w:eastAsia="sl-SI"/>
        </w:rPr>
        <w:t>PRIPRAVLJALEC:</w:t>
      </w:r>
      <w:r w:rsidRPr="00C11D88">
        <w:rPr>
          <w:rFonts w:eastAsia="Times New Roman"/>
          <w:lang w:eastAsia="sl-SI"/>
        </w:rPr>
        <w:t xml:space="preserve"> </w:t>
      </w:r>
    </w:p>
    <w:p w:rsidR="00C11D88" w:rsidRPr="00C11D88" w:rsidRDefault="009E33F3" w:rsidP="00C11D88">
      <w:pPr>
        <w:spacing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Komunala Nova Gorica d.d. in občinska uprava</w:t>
      </w: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C11D88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  <w:r w:rsidRPr="00C11D88">
        <w:rPr>
          <w:rFonts w:eastAsia="Times New Roman"/>
          <w:i/>
          <w:u w:val="single"/>
          <w:lang w:eastAsia="sl-SI"/>
        </w:rPr>
        <w:t xml:space="preserve">OBRAZLOŽITEV:  </w:t>
      </w:r>
    </w:p>
    <w:p w:rsidR="00050555" w:rsidRDefault="00050555" w:rsidP="00050555">
      <w:pPr>
        <w:autoSpaceDE w:val="0"/>
        <w:autoSpaceDN w:val="0"/>
        <w:adjustRightInd w:val="0"/>
        <w:spacing w:line="240" w:lineRule="auto"/>
      </w:pPr>
      <w:r w:rsidRPr="00050555">
        <w:t>Skladno s 5. členom Uredbe o metodologiji za oblikovanje cen storitev obveznih občinskih</w:t>
      </w:r>
      <w:r>
        <w:t xml:space="preserve"> </w:t>
      </w:r>
      <w:r w:rsidRPr="00050555">
        <w:t>gospodarskih jav</w:t>
      </w:r>
      <w:r>
        <w:t>nih služb varstva okolja (</w:t>
      </w:r>
      <w:r w:rsidRPr="00050555">
        <w:t>MEDO</w:t>
      </w:r>
      <w:r>
        <w:t>)</w:t>
      </w:r>
      <w:r w:rsidRPr="00050555">
        <w:t>,</w:t>
      </w:r>
      <w:r w:rsidR="008F05BF">
        <w:t xml:space="preserve"> </w:t>
      </w:r>
      <w:r w:rsidRPr="00050555">
        <w:t>predlaga Komunala Nova Gorica, kot izv</w:t>
      </w:r>
      <w:r>
        <w:t xml:space="preserve">ajalec gospodarske javne službe </w:t>
      </w:r>
      <w:r w:rsidRPr="00050555">
        <w:t>zbiranj</w:t>
      </w:r>
      <w:r>
        <w:t xml:space="preserve">a in odvoza komunalnih odpadkov, nove cene izvajanja </w:t>
      </w:r>
      <w:r w:rsidRPr="00050555">
        <w:t>storitev gospodarske javne službe za:</w:t>
      </w:r>
    </w:p>
    <w:p w:rsidR="008F05BF" w:rsidRPr="00050555" w:rsidRDefault="008F05BF" w:rsidP="00050555">
      <w:pPr>
        <w:autoSpaceDE w:val="0"/>
        <w:autoSpaceDN w:val="0"/>
        <w:adjustRightInd w:val="0"/>
        <w:spacing w:line="240" w:lineRule="auto"/>
      </w:pPr>
    </w:p>
    <w:p w:rsidR="00050555" w:rsidRPr="00050555" w:rsidRDefault="00050555" w:rsidP="00050555">
      <w:pPr>
        <w:autoSpaceDE w:val="0"/>
        <w:autoSpaceDN w:val="0"/>
        <w:adjustRightInd w:val="0"/>
        <w:spacing w:line="240" w:lineRule="auto"/>
      </w:pPr>
      <w:r w:rsidRPr="00050555">
        <w:t>- Zbiranje določenih vrst komunalnih odpadkov</w:t>
      </w:r>
    </w:p>
    <w:p w:rsidR="00050555" w:rsidRPr="00050555" w:rsidRDefault="00050555" w:rsidP="00050555">
      <w:pPr>
        <w:autoSpaceDE w:val="0"/>
        <w:autoSpaceDN w:val="0"/>
        <w:adjustRightInd w:val="0"/>
        <w:spacing w:line="240" w:lineRule="auto"/>
      </w:pPr>
      <w:r w:rsidRPr="00050555">
        <w:t>- Obdelavo določenih vrst komunalnih odpadkov in</w:t>
      </w:r>
    </w:p>
    <w:p w:rsidR="00050555" w:rsidRDefault="00050555" w:rsidP="00050555">
      <w:pPr>
        <w:autoSpaceDE w:val="0"/>
        <w:autoSpaceDN w:val="0"/>
        <w:adjustRightInd w:val="0"/>
        <w:spacing w:line="240" w:lineRule="auto"/>
      </w:pPr>
      <w:r w:rsidRPr="00050555">
        <w:t>- Odlaganje ostankov predelave ali odstranjevanja komunalnih odpadkov</w:t>
      </w:r>
    </w:p>
    <w:p w:rsidR="008F05BF" w:rsidRPr="00050555" w:rsidRDefault="008F05BF" w:rsidP="00050555">
      <w:pPr>
        <w:autoSpaceDE w:val="0"/>
        <w:autoSpaceDN w:val="0"/>
        <w:adjustRightInd w:val="0"/>
        <w:spacing w:line="240" w:lineRule="auto"/>
      </w:pPr>
    </w:p>
    <w:p w:rsidR="00701CD8" w:rsidRPr="00701CD8" w:rsidRDefault="00050555" w:rsidP="00701CD8">
      <w:pPr>
        <w:autoSpaceDE w:val="0"/>
        <w:autoSpaceDN w:val="0"/>
        <w:adjustRightInd w:val="0"/>
        <w:spacing w:line="240" w:lineRule="auto"/>
      </w:pPr>
      <w:r w:rsidRPr="00050555">
        <w:t xml:space="preserve">Komunala Nova Gorica je občini </w:t>
      </w:r>
      <w:r>
        <w:t>Renče-Vogrsko</w:t>
      </w:r>
      <w:r w:rsidRPr="00050555">
        <w:t xml:space="preserve"> </w:t>
      </w:r>
      <w:r w:rsidR="008F05BF">
        <w:t xml:space="preserve">in ostalim petim občinam </w:t>
      </w:r>
      <w:r w:rsidRPr="00050555">
        <w:t>predlo</w:t>
      </w:r>
      <w:r>
        <w:t xml:space="preserve">žila Elaborat o oblikovanju cen </w:t>
      </w:r>
      <w:r w:rsidRPr="00050555">
        <w:t>storitev GJS s področja ravnanja s komunalnimi odpadki n</w:t>
      </w:r>
      <w:r>
        <w:t xml:space="preserve">a področju občin Brda, Kanal ob </w:t>
      </w:r>
      <w:r w:rsidRPr="00050555">
        <w:t>Soči, Miren-Kostanjevica, MONG, Šempeter-Vrtojba in Renče-Vogrsko. S predloženim</w:t>
      </w:r>
      <w:r w:rsidR="00701CD8">
        <w:t xml:space="preserve"> </w:t>
      </w:r>
      <w:r w:rsidR="00701CD8" w:rsidRPr="00701CD8">
        <w:t>Elaboratom predlaga</w:t>
      </w:r>
      <w:r w:rsidR="008F05BF">
        <w:t>, da se gospodinjstvom in »pavšalistom« (male pravne osebe) zaračunajo nove cene ravnanja z odpadki za kg zbranih, obdelanih in odloženih odpadkov.</w:t>
      </w:r>
    </w:p>
    <w:p w:rsidR="004B3A83" w:rsidRPr="004B3A83" w:rsidRDefault="004B3A83" w:rsidP="004B3A83">
      <w:pPr>
        <w:spacing w:line="240" w:lineRule="auto"/>
      </w:pPr>
      <w:r w:rsidRPr="004B3A83">
        <w:t xml:space="preserve">Elaborat je pripravljen na podlagi </w:t>
      </w:r>
      <w:r w:rsidR="000C14CA">
        <w:t xml:space="preserve">dvoletnega </w:t>
      </w:r>
      <w:r w:rsidRPr="004B3A83">
        <w:t>obračunskega obdobja leta 201</w:t>
      </w:r>
      <w:r w:rsidR="000C14CA">
        <w:t>7</w:t>
      </w:r>
      <w:r w:rsidRPr="004B3A83">
        <w:t xml:space="preserve"> in za leto 201</w:t>
      </w:r>
      <w:r w:rsidR="000C14CA">
        <w:t>8</w:t>
      </w:r>
      <w:r w:rsidRPr="004B3A83">
        <w:t xml:space="preserve"> in predvideva enotno ceno za področje vseh šest občin, kjer izvajalec GJS izvaja storitev.</w:t>
      </w:r>
      <w:r w:rsidR="000C14CA">
        <w:t xml:space="preserve"> </w:t>
      </w:r>
      <w:r w:rsidR="00E83ED6" w:rsidRPr="00E83ED6">
        <w:t>Kot preteklo obračunsko obdobje sta določeni leti 2017 in 2018, ker za ti dve leti poračun še ni bil opravljen</w:t>
      </w:r>
      <w:r w:rsidR="00E83ED6">
        <w:t xml:space="preserve">. </w:t>
      </w:r>
      <w:r w:rsidR="000C14CA">
        <w:t>Kot prihodnje obračunsko obdobje se bo upoštevalo obdobje od 1.7.2020 do 30.6.2021.</w:t>
      </w:r>
    </w:p>
    <w:p w:rsidR="004B3A83" w:rsidRDefault="004B3A83" w:rsidP="00701CD8">
      <w:pPr>
        <w:autoSpaceDE w:val="0"/>
        <w:autoSpaceDN w:val="0"/>
        <w:adjustRightInd w:val="0"/>
        <w:spacing w:line="240" w:lineRule="auto"/>
      </w:pPr>
    </w:p>
    <w:p w:rsidR="008F03B1" w:rsidRPr="008F03B1" w:rsidRDefault="008F03B1" w:rsidP="008F03B1">
      <w:pPr>
        <w:rPr>
          <w:u w:val="single"/>
        </w:rPr>
      </w:pPr>
      <w:r w:rsidRPr="008F03B1">
        <w:rPr>
          <w:u w:val="single"/>
        </w:rPr>
        <w:t>Povečanje količin zbranih odpadkov</w:t>
      </w:r>
    </w:p>
    <w:p w:rsidR="00CC1895" w:rsidRDefault="00CC1895" w:rsidP="00CC1895">
      <w:pPr>
        <w:spacing w:line="240" w:lineRule="auto"/>
      </w:pPr>
      <w:r>
        <w:t>V letih 2017 in 2018 se je povečala količina zbranih komunalnih odpadkov glede na leto</w:t>
      </w:r>
    </w:p>
    <w:p w:rsidR="00CC1895" w:rsidRDefault="00CC1895" w:rsidP="00CC1895">
      <w:pPr>
        <w:spacing w:line="240" w:lineRule="auto"/>
      </w:pPr>
      <w:r>
        <w:t>2016, predvsem zaradi ugodnih gospodarskih razmer. Ker je izvajalec GJS v preteklih letih</w:t>
      </w:r>
    </w:p>
    <w:p w:rsidR="00CC1895" w:rsidRDefault="00CC1895" w:rsidP="00CC1895">
      <w:pPr>
        <w:spacing w:line="240" w:lineRule="auto"/>
      </w:pPr>
      <w:r>
        <w:t>zbral več komunalnih odpadkov, kot je načrtoval, se za predračunsko obdobje 2020 delno</w:t>
      </w:r>
    </w:p>
    <w:p w:rsidR="00CC1895" w:rsidRDefault="00CC1895" w:rsidP="00CC1895">
      <w:pPr>
        <w:spacing w:line="240" w:lineRule="auto"/>
      </w:pPr>
      <w:r>
        <w:t>spreminja tudi normativ obračunskih količin.</w:t>
      </w:r>
      <w:r w:rsidR="008F03B1" w:rsidRPr="008F03B1">
        <w:t xml:space="preserve"> </w:t>
      </w:r>
      <w:r>
        <w:t xml:space="preserve">Iz naslova izvajanja GJS zbiranja komunalnih odpadkov je bilo na področju vseh šestih občin zbranih </w:t>
      </w:r>
      <w:r w:rsidR="008F03B1" w:rsidRPr="008F03B1">
        <w:t>1</w:t>
      </w:r>
      <w:r w:rsidR="004C3043">
        <w:t>9.888.308</w:t>
      </w:r>
      <w:r w:rsidR="008F03B1" w:rsidRPr="008F03B1">
        <w:t xml:space="preserve"> kg v letu 201</w:t>
      </w:r>
      <w:r w:rsidR="004C3043">
        <w:t>7</w:t>
      </w:r>
      <w:r w:rsidR="008F03B1" w:rsidRPr="008F03B1">
        <w:t xml:space="preserve"> </w:t>
      </w:r>
      <w:r>
        <w:t>in</w:t>
      </w:r>
      <w:r w:rsidR="008F03B1" w:rsidRPr="008F03B1">
        <w:t xml:space="preserve"> </w:t>
      </w:r>
      <w:r w:rsidR="004C3043">
        <w:t>20</w:t>
      </w:r>
      <w:r w:rsidR="008F03B1" w:rsidRPr="008F03B1">
        <w:t>.</w:t>
      </w:r>
      <w:r w:rsidR="004C3043">
        <w:t>272</w:t>
      </w:r>
      <w:r w:rsidR="008F03B1" w:rsidRPr="008F03B1">
        <w:t>.</w:t>
      </w:r>
      <w:r w:rsidR="004C3043">
        <w:t>70</w:t>
      </w:r>
      <w:r w:rsidR="008F03B1" w:rsidRPr="008F03B1">
        <w:t>6 kg v letu 201</w:t>
      </w:r>
      <w:r w:rsidR="004C3043">
        <w:t>8</w:t>
      </w:r>
      <w:r w:rsidR="008F03B1" w:rsidRPr="008F03B1">
        <w:t>. Količina bioloških odpadkov pa se je iz 1.</w:t>
      </w:r>
      <w:r w:rsidR="004C3043">
        <w:t>997</w:t>
      </w:r>
      <w:r w:rsidR="008F03B1" w:rsidRPr="008F03B1">
        <w:t>.5</w:t>
      </w:r>
      <w:r w:rsidR="004C3043">
        <w:t>10</w:t>
      </w:r>
      <w:r w:rsidR="008F03B1" w:rsidRPr="008F03B1">
        <w:t xml:space="preserve"> kg v letu 201</w:t>
      </w:r>
      <w:r w:rsidR="004C3043">
        <w:t>7</w:t>
      </w:r>
      <w:r w:rsidR="008F03B1" w:rsidRPr="008F03B1">
        <w:t xml:space="preserve"> povečala na 2.</w:t>
      </w:r>
      <w:r w:rsidR="004C3043">
        <w:t>187</w:t>
      </w:r>
      <w:r w:rsidR="008F03B1" w:rsidRPr="008F03B1">
        <w:t>.</w:t>
      </w:r>
      <w:r w:rsidR="004C3043">
        <w:t>30</w:t>
      </w:r>
      <w:r w:rsidR="008F03B1" w:rsidRPr="008F03B1">
        <w:t>0 kg v letu 201</w:t>
      </w:r>
      <w:r w:rsidR="004C3043">
        <w:t>8</w:t>
      </w:r>
      <w:r w:rsidR="008F03B1" w:rsidRPr="008F03B1">
        <w:t xml:space="preserve">. Za </w:t>
      </w:r>
      <w:r w:rsidR="001E1303">
        <w:t>predračunsko</w:t>
      </w:r>
      <w:r w:rsidR="008F03B1" w:rsidRPr="008F03B1">
        <w:t xml:space="preserve"> obdobje leta 20</w:t>
      </w:r>
      <w:r w:rsidR="001E1303">
        <w:t>20</w:t>
      </w:r>
      <w:r w:rsidR="008F03B1" w:rsidRPr="008F03B1">
        <w:t xml:space="preserve">  načrtuje</w:t>
      </w:r>
      <w:r>
        <w:t>j</w:t>
      </w:r>
      <w:r w:rsidR="008F03B1" w:rsidRPr="008F03B1">
        <w:t>o 1</w:t>
      </w:r>
      <w:r w:rsidR="001E1303">
        <w:t>9</w:t>
      </w:r>
      <w:r w:rsidR="008F03B1" w:rsidRPr="008F03B1">
        <w:t>.</w:t>
      </w:r>
      <w:r w:rsidR="001E1303">
        <w:t>10</w:t>
      </w:r>
      <w:r w:rsidR="008F03B1" w:rsidRPr="008F03B1">
        <w:t>0.000 kg zbranih komunalnih odpadkov in 2.</w:t>
      </w:r>
      <w:r w:rsidR="001E1303">
        <w:t>6</w:t>
      </w:r>
      <w:r w:rsidR="008F03B1" w:rsidRPr="008F03B1">
        <w:t xml:space="preserve">00.000 kg zbranih bioloških odpadkov. </w:t>
      </w:r>
      <w:r w:rsidR="008F03B1" w:rsidRPr="008F03B1">
        <w:lastRenderedPageBreak/>
        <w:t xml:space="preserve">Tako se spreminja tudi načrtovana količina zbranih komunalnih odpadkov na osebo na mesec </w:t>
      </w:r>
      <w:r>
        <w:t>kot je prikazano v tabeli:</w:t>
      </w:r>
    </w:p>
    <w:p w:rsidR="00CC1895" w:rsidRDefault="00CC1895" w:rsidP="00CC1895">
      <w:pPr>
        <w:spacing w:line="240" w:lineRule="auto"/>
      </w:pPr>
    </w:p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2024"/>
        <w:gridCol w:w="2491"/>
      </w:tblGrid>
      <w:tr w:rsidR="008F03B1" w:rsidRPr="00CA421A" w:rsidTr="00A4046E">
        <w:trPr>
          <w:trHeight w:val="300"/>
        </w:trPr>
        <w:tc>
          <w:tcPr>
            <w:tcW w:w="8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  <w:r w:rsidRPr="008F03B1">
              <w:t xml:space="preserve">  Tabela 1: primerjava normativa za obračun glede na količino zbranih odpadkov</w:t>
            </w:r>
          </w:p>
        </w:tc>
      </w:tr>
      <w:tr w:rsidR="008F03B1" w:rsidRPr="00CA421A" w:rsidTr="001E1303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</w:p>
        </w:tc>
      </w:tr>
      <w:tr w:rsidR="008F03B1" w:rsidRPr="00CA421A" w:rsidTr="001E1303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  <w:r w:rsidRPr="008F03B1">
              <w:t>trenuten normativ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  <w:r w:rsidRPr="008F03B1">
              <w:t>predlagan nov normativ od 1.7.20</w:t>
            </w:r>
            <w:r w:rsidR="001E1303">
              <w:t>20</w:t>
            </w:r>
          </w:p>
        </w:tc>
      </w:tr>
      <w:tr w:rsidR="008F03B1" w:rsidRPr="00CA421A" w:rsidTr="001E1303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  <w:r w:rsidRPr="008F03B1">
              <w:t>kg/mesec/osebo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8F03B1" w:rsidRDefault="008F03B1" w:rsidP="008F03B1">
            <w:pPr>
              <w:spacing w:line="240" w:lineRule="auto"/>
            </w:pPr>
            <w:r w:rsidRPr="008F03B1">
              <w:t xml:space="preserve">kg/mesec/osebo </w:t>
            </w:r>
          </w:p>
        </w:tc>
      </w:tr>
      <w:tr w:rsidR="001E1303" w:rsidRPr="00CA421A" w:rsidTr="001E130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zbiranje mešanih komunalnih odpadkov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19,41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>
              <w:t>20,61</w:t>
            </w:r>
          </w:p>
        </w:tc>
      </w:tr>
      <w:tr w:rsidR="001E1303" w:rsidRPr="00CA421A" w:rsidTr="001E1303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zbiranje bioloških odpadkov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3,29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3,</w:t>
            </w:r>
            <w:r>
              <w:t>71</w:t>
            </w:r>
          </w:p>
        </w:tc>
      </w:tr>
      <w:tr w:rsidR="001E1303" w:rsidRPr="00CA421A" w:rsidTr="001E1303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obdelava mešanih komunalnih odpadkov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12,28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12,</w:t>
            </w:r>
            <w:r>
              <w:t>00</w:t>
            </w:r>
          </w:p>
        </w:tc>
      </w:tr>
      <w:tr w:rsidR="001E1303" w:rsidRPr="00CA421A" w:rsidTr="001E1303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odlaganje ostankov MKO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4,30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03" w:rsidRPr="008F03B1" w:rsidRDefault="001E1303" w:rsidP="001E1303">
            <w:pPr>
              <w:spacing w:line="240" w:lineRule="auto"/>
            </w:pPr>
            <w:r w:rsidRPr="008F03B1">
              <w:t>4,</w:t>
            </w:r>
            <w:r>
              <w:t>2</w:t>
            </w:r>
            <w:r w:rsidRPr="008F03B1">
              <w:t>0</w:t>
            </w:r>
          </w:p>
        </w:tc>
      </w:tr>
    </w:tbl>
    <w:p w:rsidR="008F03B1" w:rsidRPr="008F03B1" w:rsidRDefault="008F03B1" w:rsidP="008F03B1">
      <w:pPr>
        <w:spacing w:line="240" w:lineRule="auto"/>
      </w:pPr>
    </w:p>
    <w:p w:rsidR="00A4046E" w:rsidRPr="00D457F8" w:rsidRDefault="00A4046E" w:rsidP="008F03B1">
      <w:pPr>
        <w:spacing w:line="240" w:lineRule="auto"/>
        <w:rPr>
          <w:color w:val="FF0000"/>
        </w:rPr>
      </w:pPr>
    </w:p>
    <w:p w:rsidR="00CC1895" w:rsidRPr="004E0D25" w:rsidRDefault="00CC1895" w:rsidP="00CC1895">
      <w:pPr>
        <w:spacing w:line="240" w:lineRule="auto"/>
      </w:pPr>
      <w:r w:rsidRPr="004E0D25">
        <w:t>Spremembe veljavnih cen temeljijo na naslednjih predpostavkah: ceni odlaganja kosovnih</w:t>
      </w:r>
    </w:p>
    <w:p w:rsidR="00CC1895" w:rsidRPr="004E0D25" w:rsidRDefault="00CC1895" w:rsidP="00CC1895">
      <w:pPr>
        <w:spacing w:line="240" w:lineRule="auto"/>
      </w:pPr>
      <w:r w:rsidRPr="004E0D25">
        <w:t>odpadkov, ceni prevzema odpadnega lesa, ceni prevzema kuhinjskih bioloških odpadkov,</w:t>
      </w:r>
    </w:p>
    <w:p w:rsidR="00CC1895" w:rsidRPr="004E0D25" w:rsidRDefault="00CC1895" w:rsidP="00CC1895">
      <w:pPr>
        <w:spacing w:line="240" w:lineRule="auto"/>
      </w:pPr>
      <w:r w:rsidRPr="004E0D25">
        <w:t>obračunu amortizacije, strošku prevozov, prihodkih od prodaje surovin, povečanju stroška</w:t>
      </w:r>
    </w:p>
    <w:p w:rsidR="00CC1895" w:rsidRPr="004E0D25" w:rsidRDefault="00CC1895" w:rsidP="00CC1895">
      <w:pPr>
        <w:spacing w:line="240" w:lineRule="auto"/>
      </w:pPr>
      <w:r w:rsidRPr="004E0D25">
        <w:t>dela, strošku infrastrukture ter povečanju stroška storitev obdelave in odlaganja odpadkov.</w:t>
      </w:r>
    </w:p>
    <w:p w:rsidR="00CC1895" w:rsidRPr="004E0D25" w:rsidRDefault="00CC1895" w:rsidP="00CC1895">
      <w:pPr>
        <w:spacing w:line="240" w:lineRule="auto"/>
      </w:pPr>
      <w:r w:rsidRPr="004E0D25">
        <w:t>Izvajalec GJS je podrobneje opisal vsebino in dvig posameznih struktur stroškov, in sicer: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1. Odlaganje kosovnih odpadkov: povprečna cena odlaganja kosovnih odpadkov v letu</w:t>
      </w:r>
    </w:p>
    <w:p w:rsidR="00CC1895" w:rsidRPr="004E0D25" w:rsidRDefault="00CC1895" w:rsidP="00CC1895">
      <w:pPr>
        <w:spacing w:line="240" w:lineRule="auto"/>
      </w:pPr>
      <w:r w:rsidRPr="004E0D25">
        <w:t>2018 je bila 108,91 EUR/t, trenutna cena pa je med 146 EUR/t in 175 EUR/t. Tej ceni je</w:t>
      </w:r>
    </w:p>
    <w:p w:rsidR="00CC1895" w:rsidRPr="004E0D25" w:rsidRDefault="00CC1895" w:rsidP="00CC1895">
      <w:pPr>
        <w:spacing w:line="240" w:lineRule="auto"/>
      </w:pPr>
      <w:r w:rsidRPr="004E0D25">
        <w:t>potrebno dodati še strošek prevoza do odlagališča. Določeni izvajalci odlaganja kosovnih</w:t>
      </w:r>
    </w:p>
    <w:p w:rsidR="00CC1895" w:rsidRPr="004E0D25" w:rsidRDefault="00CC1895" w:rsidP="00CC1895">
      <w:pPr>
        <w:spacing w:line="240" w:lineRule="auto"/>
      </w:pPr>
      <w:r w:rsidRPr="004E0D25">
        <w:t>odpadkov pa niti niso zainteresirani za prevzem le teh.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2. Prevzem odpadnega lesa: še v letu 2018 in 2019 je izvajalec lahko oddajal odpadni les</w:t>
      </w:r>
    </w:p>
    <w:p w:rsidR="00CC1895" w:rsidRPr="004E0D25" w:rsidRDefault="00CC1895" w:rsidP="00CC1895">
      <w:pPr>
        <w:spacing w:line="240" w:lineRule="auto"/>
      </w:pPr>
      <w:r w:rsidRPr="004E0D25">
        <w:t>po precej nizki ceni. V letu 2020 pa ga oddaja tudi po večkratniku cene iz preteklih let.</w:t>
      </w:r>
    </w:p>
    <w:p w:rsidR="00CC1895" w:rsidRPr="004E0D25" w:rsidRDefault="00CC1895" w:rsidP="00CC1895">
      <w:pPr>
        <w:spacing w:line="240" w:lineRule="auto"/>
      </w:pPr>
      <w:r w:rsidRPr="004E0D25">
        <w:t>Razlog je v milih zimah, ter viških lesa na trgu, kar je posledica žledoloma in napada</w:t>
      </w:r>
    </w:p>
    <w:p w:rsidR="00CC1895" w:rsidRPr="004E0D25" w:rsidRDefault="00CC1895" w:rsidP="00CC1895">
      <w:pPr>
        <w:spacing w:line="240" w:lineRule="auto"/>
      </w:pPr>
      <w:r w:rsidRPr="004E0D25">
        <w:t>lubadarja.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3. Prevzem kuhinjskih bioloških odpadkov: oddaja kuhinjskih bioloških odpadkov se izvaja</w:t>
      </w:r>
    </w:p>
    <w:p w:rsidR="00CC1895" w:rsidRPr="004E0D25" w:rsidRDefault="00CC1895" w:rsidP="00CC1895">
      <w:pPr>
        <w:spacing w:line="240" w:lineRule="auto"/>
      </w:pPr>
      <w:r w:rsidRPr="004E0D25">
        <w:t>po znatno nižji ceni kot oddaja mešanih komunalnih odpadkov, vendar višji kot je bila v</w:t>
      </w:r>
    </w:p>
    <w:p w:rsidR="00CC1895" w:rsidRPr="004E0D25" w:rsidRDefault="00CC1895" w:rsidP="00CC1895">
      <w:pPr>
        <w:spacing w:line="240" w:lineRule="auto"/>
      </w:pPr>
      <w:r w:rsidRPr="004E0D25">
        <w:t>preteklih letih.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4. Obračun amortizacije: za izvajanje GJS mora izvajalec letno zagotavljati zamenjavo</w:t>
      </w:r>
    </w:p>
    <w:p w:rsidR="00CC1895" w:rsidRPr="004E0D25" w:rsidRDefault="00CC1895" w:rsidP="00CC1895">
      <w:pPr>
        <w:spacing w:line="240" w:lineRule="auto"/>
      </w:pPr>
      <w:r w:rsidRPr="004E0D25">
        <w:t>dotrajane opreme v določenem delu. Nenazadnje brez menjave dotrajane opreme rastejo</w:t>
      </w:r>
    </w:p>
    <w:p w:rsidR="00CC1895" w:rsidRPr="004E0D25" w:rsidRDefault="00CC1895" w:rsidP="00CC1895">
      <w:pPr>
        <w:spacing w:line="240" w:lineRule="auto"/>
      </w:pPr>
      <w:r w:rsidRPr="004E0D25">
        <w:t>stroški popravil in rezervnih delov ter nastajajo zamude pri odvažanju odpadkov.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5. Razlika pri prodaji odpadnih surovin: v letu 2019 so že znatno padle cene odkupa</w:t>
      </w:r>
    </w:p>
    <w:p w:rsidR="00CC1895" w:rsidRPr="004E0D25" w:rsidRDefault="00CC1895" w:rsidP="00CC1895">
      <w:pPr>
        <w:spacing w:line="240" w:lineRule="auto"/>
      </w:pPr>
      <w:r w:rsidRPr="004E0D25">
        <w:t>odpadnih surovin (predvsem kartona), ki jih izvajalec zbira v okviru GJS in nato proda. Ti</w:t>
      </w:r>
    </w:p>
    <w:p w:rsidR="00CC1895" w:rsidRPr="004E0D25" w:rsidRDefault="00CC1895" w:rsidP="00CC1895">
      <w:pPr>
        <w:spacing w:line="240" w:lineRule="auto"/>
      </w:pPr>
      <w:r w:rsidRPr="004E0D25">
        <w:t>prihodki znižujejo strošek izvajanja GJS. Že v letu 2019 so se prihodki znižali za cca</w:t>
      </w:r>
    </w:p>
    <w:p w:rsidR="00CC1895" w:rsidRPr="004E0D25" w:rsidRDefault="00CC1895" w:rsidP="00CC1895">
      <w:pPr>
        <w:spacing w:line="240" w:lineRule="auto"/>
      </w:pPr>
      <w:r w:rsidRPr="004E0D25">
        <w:t>15.000 EUR, v letu 2020 pa se ta trend nadaljuje, zato je izvajalec planiral, da bo v letu</w:t>
      </w:r>
    </w:p>
    <w:p w:rsidR="00CC1895" w:rsidRPr="004E0D25" w:rsidRDefault="00CC1895" w:rsidP="00CC1895">
      <w:pPr>
        <w:spacing w:line="240" w:lineRule="auto"/>
      </w:pPr>
      <w:r w:rsidRPr="004E0D25">
        <w:t>2020 dosegel za 38.234 EUR nižje prihodke iz prodaje zbranih odpadnih surovin.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6. Strošek dela: z uveljavitvijo zakona o minimalni plači, je bilo pričakovati tudi dvig stroškov</w:t>
      </w:r>
    </w:p>
    <w:p w:rsidR="00CC1895" w:rsidRPr="004E0D25" w:rsidRDefault="00CC1895" w:rsidP="00CC1895">
      <w:pPr>
        <w:spacing w:line="240" w:lineRule="auto"/>
      </w:pPr>
      <w:r w:rsidRPr="004E0D25">
        <w:t>dela za izvajanje GJS.</w:t>
      </w:r>
    </w:p>
    <w:p w:rsidR="00E83ED6" w:rsidRDefault="00E83ED6" w:rsidP="00CC1895">
      <w:pPr>
        <w:spacing w:line="240" w:lineRule="auto"/>
      </w:pPr>
    </w:p>
    <w:p w:rsidR="00CC1895" w:rsidRPr="004E0D25" w:rsidRDefault="00CC1895" w:rsidP="00CC1895">
      <w:pPr>
        <w:spacing w:line="240" w:lineRule="auto"/>
      </w:pPr>
      <w:r w:rsidRPr="004E0D25">
        <w:t>7. Strošek obdelave in odlaganja mešanih komunalnih odpadkov: v letu 2018 je bil strošek</w:t>
      </w:r>
    </w:p>
    <w:p w:rsidR="00CC1895" w:rsidRPr="004E0D25" w:rsidRDefault="00CC1895" w:rsidP="00CC1895">
      <w:pPr>
        <w:spacing w:line="240" w:lineRule="auto"/>
      </w:pPr>
      <w:r w:rsidRPr="004E0D25">
        <w:t>obdelave in odlaganja mešanih komunalnih odpadkov 99,12 EUR/t, v letu 2020 pa je</w:t>
      </w:r>
    </w:p>
    <w:p w:rsidR="00CC1895" w:rsidRPr="004E0D25" w:rsidRDefault="00CC1895" w:rsidP="00CC1895">
      <w:pPr>
        <w:spacing w:line="240" w:lineRule="auto"/>
      </w:pPr>
      <w:r w:rsidRPr="004E0D25">
        <w:t>načrtovan strošek pri trenutnem izvajalcu po ceni 146 EUR/t. Nekoliko sicer pada količina</w:t>
      </w:r>
    </w:p>
    <w:p w:rsidR="00CC1895" w:rsidRPr="004E0D25" w:rsidRDefault="00CC1895" w:rsidP="00CC1895">
      <w:pPr>
        <w:spacing w:line="240" w:lineRule="auto"/>
      </w:pPr>
      <w:r w:rsidRPr="004E0D25">
        <w:t>zbranih mešanih komunalnih odpadkov, zaradi večjega ločevanja odpadkov, vendar je</w:t>
      </w:r>
    </w:p>
    <w:p w:rsidR="00526A89" w:rsidRPr="004E0D25" w:rsidRDefault="00CC1895" w:rsidP="00CC1895">
      <w:pPr>
        <w:spacing w:line="240" w:lineRule="auto"/>
      </w:pPr>
      <w:r w:rsidRPr="004E0D25">
        <w:t>porast stroška še vedno zelo visoka.</w:t>
      </w:r>
    </w:p>
    <w:p w:rsidR="00CC1895" w:rsidRPr="004E0D25" w:rsidRDefault="00CC1895" w:rsidP="00CC1895">
      <w:pPr>
        <w:spacing w:line="240" w:lineRule="auto"/>
      </w:pPr>
    </w:p>
    <w:p w:rsidR="008F03B1" w:rsidRPr="004E0D25" w:rsidRDefault="008F03B1" w:rsidP="008F03B1">
      <w:r w:rsidRPr="004E0D25">
        <w:lastRenderedPageBreak/>
        <w:t>Tabela 2: Trenutno veljavna cena (na osebo/mesec)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1260"/>
        <w:gridCol w:w="1200"/>
        <w:gridCol w:w="1180"/>
      </w:tblGrid>
      <w:tr w:rsidR="004E0D25" w:rsidRPr="004E0D25" w:rsidTr="00E502D1">
        <w:trPr>
          <w:trHeight w:val="315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element na računu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normativ kg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cena €/kg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znesek €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 xml:space="preserve">zbiranje KO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19,41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0,0</w:t>
            </w:r>
            <w:r w:rsidR="00CC1895" w:rsidRPr="004E0D25"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</w:t>
            </w:r>
            <w:r w:rsidR="00CC1895" w:rsidRPr="004E0D25">
              <w:t>44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 xml:space="preserve">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19,41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</w:t>
            </w:r>
            <w:r w:rsidR="00CC1895" w:rsidRPr="004E0D25">
              <w:t>1477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2,87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 xml:space="preserve">zbiranje BIO odpadkov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0,0221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0,0</w:t>
            </w:r>
            <w:r w:rsidR="00CC1895" w:rsidRPr="004E0D25">
              <w:t>7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 xml:space="preserve">  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3,29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</w:t>
            </w:r>
            <w:r w:rsidR="00CC1895" w:rsidRPr="004E0D25">
              <w:t>1460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0,4</w:t>
            </w:r>
            <w:r w:rsidR="00CC1895" w:rsidRPr="004E0D25">
              <w:t>8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 xml:space="preserve">obdelava MKO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CC1895" w:rsidP="00E502D1">
            <w:pPr>
              <w:spacing w:line="240" w:lineRule="auto"/>
            </w:pPr>
            <w:r w:rsidRPr="004E0D25">
              <w:t>12,28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0,0</w:t>
            </w:r>
            <w:r w:rsidR="00CC1895" w:rsidRPr="004E0D25"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0,4</w:t>
            </w:r>
            <w:r w:rsidR="00CC1895" w:rsidRPr="004E0D25">
              <w:t>9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 xml:space="preserve">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1</w:t>
            </w:r>
            <w:r w:rsidR="00CC1895" w:rsidRPr="004E0D25">
              <w:t>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0,0</w:t>
            </w:r>
            <w:r w:rsidR="00CC1895" w:rsidRPr="004E0D25"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</w:t>
            </w:r>
            <w:r w:rsidR="00CC1895" w:rsidRPr="004E0D25">
              <w:t>40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</w:pPr>
            <w:r w:rsidRPr="004E0D25">
              <w:t xml:space="preserve">odlaganje KO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0D25" w:rsidRPr="004E0D25" w:rsidRDefault="004E0D25" w:rsidP="004E0D25">
            <w:pPr>
              <w:spacing w:line="240" w:lineRule="auto"/>
            </w:pPr>
            <w:r w:rsidRPr="004E0D25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</w:pPr>
            <w:r w:rsidRPr="004E0D25"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  <w:jc w:val="left"/>
            </w:pPr>
            <w:r w:rsidRPr="004E0D25">
              <w:t>0,0333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  <w:jc w:val="left"/>
            </w:pPr>
            <w:r w:rsidRPr="004E0D25">
              <w:t>0,14</w:t>
            </w:r>
          </w:p>
        </w:tc>
      </w:tr>
      <w:tr w:rsidR="004E0D25" w:rsidRPr="004E0D25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</w:pPr>
            <w:r w:rsidRPr="004E0D25">
              <w:t xml:space="preserve">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D25" w:rsidRPr="004E0D25" w:rsidRDefault="004E0D25" w:rsidP="004E0D25">
            <w:pPr>
              <w:spacing w:line="240" w:lineRule="auto"/>
            </w:pPr>
            <w:r w:rsidRPr="004E0D25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</w:pPr>
            <w:r w:rsidRPr="004E0D25">
              <w:t>4,30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  <w:jc w:val="left"/>
            </w:pPr>
            <w:r w:rsidRPr="004E0D25">
              <w:t>0,0351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D25" w:rsidRPr="004E0D25" w:rsidRDefault="004E0D25" w:rsidP="004E0D25">
            <w:pPr>
              <w:spacing w:line="240" w:lineRule="auto"/>
              <w:jc w:val="left"/>
            </w:pPr>
            <w:r w:rsidRPr="004E0D25">
              <w:t>0,15</w:t>
            </w:r>
          </w:p>
        </w:tc>
      </w:tr>
      <w:tr w:rsidR="004E0D25" w:rsidRPr="004E0D25" w:rsidTr="00E502D1">
        <w:trPr>
          <w:trHeight w:val="315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skupaj na osebo na mesec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5,</w:t>
            </w:r>
            <w:r w:rsidR="004E0D25" w:rsidRPr="004E0D25">
              <w:t>04</w:t>
            </w:r>
          </w:p>
        </w:tc>
      </w:tr>
      <w:tr w:rsidR="004E0D25" w:rsidRPr="004E0D25" w:rsidTr="00E502D1">
        <w:trPr>
          <w:trHeight w:val="300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DDV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9,50%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0,4</w:t>
            </w:r>
            <w:r w:rsidR="004E0D25" w:rsidRPr="004E0D25">
              <w:t>8</w:t>
            </w:r>
          </w:p>
        </w:tc>
      </w:tr>
      <w:tr w:rsidR="004E0D25" w:rsidRPr="004E0D25" w:rsidTr="00E502D1">
        <w:trPr>
          <w:trHeight w:val="315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skupaj na osebo na mesec z DDV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4E0D25" w:rsidRDefault="008F03B1" w:rsidP="00E502D1">
            <w:pPr>
              <w:spacing w:line="240" w:lineRule="auto"/>
            </w:pPr>
            <w:r w:rsidRPr="004E0D25">
              <w:t>5,</w:t>
            </w:r>
            <w:r w:rsidR="004E0D25" w:rsidRPr="004E0D25">
              <w:t>52</w:t>
            </w:r>
          </w:p>
        </w:tc>
      </w:tr>
    </w:tbl>
    <w:p w:rsidR="008F03B1" w:rsidRPr="00D457F8" w:rsidRDefault="008F03B1" w:rsidP="008F03B1">
      <w:pPr>
        <w:rPr>
          <w:color w:val="FF0000"/>
        </w:rPr>
      </w:pPr>
    </w:p>
    <w:p w:rsidR="008F03B1" w:rsidRPr="00E83ED6" w:rsidRDefault="008F03B1" w:rsidP="008F03B1">
      <w:r w:rsidRPr="00E83ED6">
        <w:t xml:space="preserve">Tabela 3: Predlagana nova cena skladno z predloženim elaboratom za obdobje </w:t>
      </w:r>
      <w:r w:rsidR="004E0D25" w:rsidRPr="00E83ED6">
        <w:t>od</w:t>
      </w:r>
      <w:r w:rsidRPr="00E83ED6">
        <w:t xml:space="preserve"> 1.7.20</w:t>
      </w:r>
      <w:r w:rsidR="004E0D25" w:rsidRPr="00E83ED6">
        <w:t xml:space="preserve">20 </w:t>
      </w:r>
      <w:r w:rsidRPr="00E83ED6">
        <w:t>(na osebo/mesec)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1260"/>
        <w:gridCol w:w="1200"/>
        <w:gridCol w:w="1180"/>
      </w:tblGrid>
      <w:tr w:rsidR="00E83ED6" w:rsidRPr="00E83ED6" w:rsidTr="00E502D1">
        <w:trPr>
          <w:trHeight w:val="315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element na računu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normativ kg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cena €/kg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znesek €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zbiranje KO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4E0D25" w:rsidP="00E502D1">
            <w:pPr>
              <w:spacing w:line="240" w:lineRule="auto"/>
              <w:jc w:val="right"/>
            </w:pPr>
            <w:r w:rsidRPr="00E83ED6">
              <w:t>20,61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0,0</w:t>
            </w:r>
            <w:r w:rsidR="004E0D25" w:rsidRPr="00E83ED6">
              <w:t>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D25" w:rsidRPr="00E83ED6" w:rsidRDefault="008F03B1" w:rsidP="004E0D25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01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4E0D25" w:rsidP="00E502D1">
            <w:pPr>
              <w:spacing w:line="240" w:lineRule="auto"/>
              <w:jc w:val="right"/>
            </w:pPr>
            <w:r w:rsidRPr="00E83ED6">
              <w:t>20,61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0,1</w:t>
            </w:r>
            <w:r w:rsidR="004E0D25" w:rsidRPr="00E83ED6"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4E0D25" w:rsidP="00E502D1">
            <w:pPr>
              <w:spacing w:line="240" w:lineRule="auto"/>
              <w:jc w:val="right"/>
            </w:pPr>
            <w:r w:rsidRPr="00E83ED6">
              <w:t>4,02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zbiranje BIO odpadkov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3,</w:t>
            </w:r>
            <w:r w:rsidR="004E0D25" w:rsidRPr="00E83ED6"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0,02</w:t>
            </w:r>
            <w:r w:rsidR="004E0D25" w:rsidRPr="00E83ED6"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09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       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3,</w:t>
            </w:r>
            <w:r w:rsidR="004E0D25" w:rsidRPr="00E83ED6"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2612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97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obdelava MKO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12,</w:t>
            </w:r>
            <w:r w:rsidR="004E0D25" w:rsidRPr="00E83ED6"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0,0</w:t>
            </w:r>
            <w:r w:rsidR="004E0D25" w:rsidRPr="00E83ED6"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16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12,</w:t>
            </w:r>
            <w:r w:rsidR="004E0D25" w:rsidRPr="00E83ED6"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0,0</w:t>
            </w:r>
            <w:r w:rsidR="004E0D25" w:rsidRPr="00E83ED6">
              <w:t>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8</w:t>
            </w:r>
            <w:r w:rsidRPr="00E83ED6">
              <w:t>4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odlaganje KO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infrastrukture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4,</w:t>
            </w:r>
            <w:r w:rsidR="004E0D25" w:rsidRPr="00E83ED6">
              <w:t>2</w:t>
            </w:r>
            <w:r w:rsidRPr="00E83ED6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0,0</w:t>
            </w:r>
            <w:r w:rsidR="004E0D25" w:rsidRPr="00E83ED6">
              <w:t>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0</w:t>
            </w:r>
            <w:r w:rsidRPr="00E83ED6">
              <w:t>1</w:t>
            </w:r>
          </w:p>
        </w:tc>
      </w:tr>
      <w:tr w:rsidR="00E83ED6" w:rsidRPr="00E83ED6" w:rsidTr="00E502D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 xml:space="preserve">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- cena storitve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4,</w:t>
            </w:r>
            <w:r w:rsidR="004E0D25" w:rsidRPr="00E83ED6">
              <w:t>2</w:t>
            </w:r>
            <w:r w:rsidRPr="00E83ED6"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0,0</w:t>
            </w:r>
            <w:r w:rsidR="004E0D25" w:rsidRPr="00E83ED6">
              <w:t>22</w:t>
            </w:r>
            <w:r w:rsidRPr="00E83ED6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09</w:t>
            </w:r>
          </w:p>
        </w:tc>
      </w:tr>
      <w:tr w:rsidR="00E83ED6" w:rsidRPr="00E83ED6" w:rsidTr="00E502D1">
        <w:trPr>
          <w:trHeight w:val="315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skupaj na osebo na mesec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4E0D25" w:rsidP="00E502D1">
            <w:pPr>
              <w:spacing w:line="240" w:lineRule="auto"/>
              <w:jc w:val="right"/>
            </w:pPr>
            <w:r w:rsidRPr="00E83ED6">
              <w:t>6,19</w:t>
            </w:r>
          </w:p>
        </w:tc>
      </w:tr>
      <w:tr w:rsidR="00E83ED6" w:rsidRPr="00E83ED6" w:rsidTr="00E502D1">
        <w:trPr>
          <w:trHeight w:val="300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DDV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9,50%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  <w:jc w:val="right"/>
            </w:pPr>
            <w:r w:rsidRPr="00E83ED6">
              <w:t>0,</w:t>
            </w:r>
            <w:r w:rsidR="004E0D25" w:rsidRPr="00E83ED6">
              <w:t>59</w:t>
            </w:r>
          </w:p>
        </w:tc>
      </w:tr>
      <w:tr w:rsidR="00E83ED6" w:rsidRPr="00E83ED6" w:rsidTr="00E502D1">
        <w:trPr>
          <w:trHeight w:val="315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skupaj na osebo na mesec z DDV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8F03B1" w:rsidP="00E502D1">
            <w:pPr>
              <w:spacing w:line="240" w:lineRule="auto"/>
            </w:pPr>
            <w:r w:rsidRPr="00E83ED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3B1" w:rsidRPr="00E83ED6" w:rsidRDefault="004E0D25" w:rsidP="00E502D1">
            <w:pPr>
              <w:spacing w:line="240" w:lineRule="auto"/>
              <w:jc w:val="right"/>
            </w:pPr>
            <w:r w:rsidRPr="00E83ED6">
              <w:t>6,78</w:t>
            </w:r>
          </w:p>
        </w:tc>
      </w:tr>
    </w:tbl>
    <w:p w:rsidR="004B3A83" w:rsidRDefault="004B3A83" w:rsidP="00701CD8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:rsidR="00E83ED6" w:rsidRPr="00D457F8" w:rsidRDefault="00E83ED6" w:rsidP="00701CD8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  <w:r w:rsidRPr="00E83ED6">
        <w:rPr>
          <w:rFonts w:eastAsia="Times New Roman"/>
          <w:i/>
          <w:u w:val="single"/>
          <w:lang w:eastAsia="sl-SI"/>
        </w:rPr>
        <w:t>RAZLOGI ZA SPREJETJE:</w:t>
      </w:r>
    </w:p>
    <w:p w:rsidR="005D00FD" w:rsidRPr="00E83ED6" w:rsidRDefault="00135E91" w:rsidP="008F03B1">
      <w:pPr>
        <w:autoSpaceDE w:val="0"/>
        <w:autoSpaceDN w:val="0"/>
        <w:adjustRightInd w:val="0"/>
        <w:spacing w:line="240" w:lineRule="auto"/>
      </w:pPr>
      <w:r w:rsidRPr="00E83ED6">
        <w:t>5. člen uredbe o metodologiji za oblikovanje cen storitev obveznih občinskih gospodarskih javnih služb varstva okolja (Uradni list RS, št. 87/12 in 109/12) določa, da ceno storitve posamezne javne službe za območje občine predlaga izvajalec z ELABORATOM o oblikovanju cen storitev javne službe in jo predloži pristojnemu občinskemu organu v potrditev.</w:t>
      </w:r>
      <w:r w:rsidR="005D00FD" w:rsidRPr="00E83ED6">
        <w:t xml:space="preserve"> Izvajalec gospodarskih javnih služb ravnanja s komunalnimi odpadki Komunala d.d. Nova Gorica je občinam, na območju katerih izvaja javne službe po enotnih cenah skladno s 5. členom uredbe, predlagal nove cene izvajanja storitev javnih služb ravnanja z odpadki s predpisanim elaboratom. </w:t>
      </w:r>
    </w:p>
    <w:p w:rsidR="00C11D88" w:rsidRPr="00D457F8" w:rsidRDefault="00C11D88" w:rsidP="00C11D88">
      <w:pPr>
        <w:spacing w:line="240" w:lineRule="auto"/>
        <w:rPr>
          <w:rFonts w:eastAsia="Times New Roman"/>
          <w:i/>
          <w:color w:val="FF0000"/>
          <w:u w:val="single"/>
          <w:lang w:eastAsia="sl-SI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  <w:r w:rsidRPr="00E83ED6">
        <w:rPr>
          <w:rFonts w:eastAsia="Times New Roman"/>
          <w:i/>
          <w:u w:val="single"/>
          <w:lang w:eastAsia="sl-SI"/>
        </w:rPr>
        <w:t>OCENA STANJA:</w:t>
      </w:r>
    </w:p>
    <w:p w:rsidR="00E83ED6" w:rsidRDefault="00E83ED6" w:rsidP="00E83ED6">
      <w:pPr>
        <w:autoSpaceDE w:val="0"/>
        <w:autoSpaceDN w:val="0"/>
        <w:adjustRightInd w:val="0"/>
        <w:spacing w:line="240" w:lineRule="auto"/>
      </w:pPr>
      <w:r>
        <w:t>Predlog spremembe cene pomeni zvišanje cene za 22,8% oz. za 1,15 EUR brez DDV (1,26 EUR z DDV) na uporabnika na mesec glede na trenutno veljavno ceno.</w:t>
      </w:r>
    </w:p>
    <w:p w:rsidR="00C11D88" w:rsidRPr="00D457F8" w:rsidRDefault="00C11D88" w:rsidP="00C11D88">
      <w:pPr>
        <w:spacing w:line="240" w:lineRule="auto"/>
        <w:rPr>
          <w:rFonts w:eastAsia="Times New Roman"/>
          <w:i/>
          <w:color w:val="FF0000"/>
          <w:u w:val="single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  <w:r w:rsidRPr="00E83ED6">
        <w:rPr>
          <w:rFonts w:eastAsia="Times New Roman"/>
          <w:i/>
          <w:u w:val="single"/>
          <w:lang w:eastAsia="sl-SI"/>
        </w:rPr>
        <w:lastRenderedPageBreak/>
        <w:t>CILJI IN NAČELA:</w:t>
      </w:r>
    </w:p>
    <w:p w:rsidR="00837644" w:rsidRPr="00E83ED6" w:rsidRDefault="00837644" w:rsidP="00695F6E">
      <w:pPr>
        <w:spacing w:line="240" w:lineRule="auto"/>
      </w:pPr>
      <w:r w:rsidRPr="00E83ED6">
        <w:t>Pri oblikovanju cen javnih služb se upoštevajo standardi in ukrepi za opravljanje posamezne javne službe, kakor jih opredeljujejo državni in občinski predpisi.</w:t>
      </w:r>
    </w:p>
    <w:p w:rsidR="00C11D88" w:rsidRPr="00E83ED6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i/>
          <w:u w:val="single"/>
          <w:lang w:eastAsia="sl-SI"/>
        </w:rPr>
      </w:pPr>
      <w:r w:rsidRPr="00E83ED6">
        <w:rPr>
          <w:rFonts w:eastAsia="Times New Roman"/>
          <w:i/>
          <w:u w:val="single"/>
          <w:lang w:eastAsia="sl-SI"/>
        </w:rPr>
        <w:t>FINANČNE IN DRUGE POSLEDICE:</w:t>
      </w:r>
    </w:p>
    <w:p w:rsidR="00647857" w:rsidRPr="00E83ED6" w:rsidRDefault="00647857" w:rsidP="00647857">
      <w:r w:rsidRPr="00E83ED6">
        <w:t>V skladu z elaboratom.</w:t>
      </w:r>
    </w:p>
    <w:p w:rsidR="00CA6DBD" w:rsidRPr="00E83ED6" w:rsidRDefault="00CA6DBD" w:rsidP="00C11D88">
      <w:pPr>
        <w:spacing w:line="240" w:lineRule="auto"/>
        <w:rPr>
          <w:rFonts w:eastAsia="Times New Roman"/>
          <w:sz w:val="20"/>
          <w:szCs w:val="20"/>
          <w:lang w:eastAsia="sl-SI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sz w:val="20"/>
          <w:szCs w:val="20"/>
          <w:lang w:eastAsia="sl-SI"/>
        </w:rPr>
      </w:pPr>
      <w:r w:rsidRPr="00E83ED6">
        <w:rPr>
          <w:rFonts w:eastAsia="Times New Roman"/>
          <w:sz w:val="20"/>
          <w:szCs w:val="20"/>
          <w:lang w:eastAsia="sl-SI"/>
        </w:rPr>
        <w:t>Pripravila:</w:t>
      </w:r>
    </w:p>
    <w:p w:rsidR="00C11D88" w:rsidRPr="00E83ED6" w:rsidRDefault="00E83ED6" w:rsidP="00C11D88">
      <w:pPr>
        <w:spacing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Ana Vuk</w:t>
      </w:r>
    </w:p>
    <w:p w:rsidR="00526A89" w:rsidRPr="00E83ED6" w:rsidRDefault="003921F4" w:rsidP="00C11D88">
      <w:pPr>
        <w:spacing w:line="240" w:lineRule="auto"/>
        <w:rPr>
          <w:rFonts w:eastAsia="Times New Roman"/>
          <w:sz w:val="20"/>
          <w:szCs w:val="20"/>
          <w:lang w:eastAsia="sl-SI"/>
        </w:rPr>
      </w:pPr>
      <w:r w:rsidRPr="00E83ED6">
        <w:rPr>
          <w:rFonts w:eastAsia="Times New Roman"/>
          <w:sz w:val="20"/>
          <w:szCs w:val="20"/>
          <w:lang w:eastAsia="sl-SI"/>
        </w:rPr>
        <w:t>Direktorica Občinske uprave</w:t>
      </w:r>
    </w:p>
    <w:p w:rsidR="002B03F7" w:rsidRPr="00E83ED6" w:rsidRDefault="00E83ED6" w:rsidP="00C11D88">
      <w:pPr>
        <w:spacing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</w:t>
      </w:r>
      <w:r w:rsidR="002B03F7" w:rsidRPr="00E83ED6">
        <w:rPr>
          <w:rFonts w:eastAsia="Times New Roman"/>
          <w:sz w:val="20"/>
          <w:szCs w:val="20"/>
          <w:lang w:eastAsia="sl-SI"/>
        </w:rPr>
        <w:t>n Komunala Nova Gorica d.d.</w:t>
      </w:r>
    </w:p>
    <w:p w:rsidR="00C11D88" w:rsidRPr="00D457F8" w:rsidRDefault="00D8163B" w:rsidP="00C11D88">
      <w:pPr>
        <w:spacing w:line="240" w:lineRule="auto"/>
        <w:rPr>
          <w:rFonts w:eastAsia="Times New Roman"/>
          <w:color w:val="FF0000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C11D88" w:rsidRPr="00D457F8" w:rsidRDefault="00C11D88" w:rsidP="00C11D88">
      <w:pPr>
        <w:spacing w:line="240" w:lineRule="auto"/>
        <w:rPr>
          <w:rFonts w:eastAsia="Times New Roman"/>
          <w:color w:val="FF0000"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E83ED6" w:rsidRDefault="00E83ED6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  <w:r w:rsidRPr="00E83ED6">
        <w:rPr>
          <w:rFonts w:eastAsia="Times New Roman"/>
          <w:i/>
          <w:sz w:val="20"/>
          <w:szCs w:val="20"/>
          <w:lang w:eastAsia="sl-SI"/>
        </w:rPr>
        <w:t>Predlog akta:</w:t>
      </w:r>
    </w:p>
    <w:p w:rsidR="00C11D88" w:rsidRPr="00E83ED6" w:rsidRDefault="00C11D88" w:rsidP="00C11D88">
      <w:pPr>
        <w:spacing w:line="240" w:lineRule="auto"/>
        <w:rPr>
          <w:rFonts w:eastAsia="Times New Roman"/>
          <w:i/>
          <w:sz w:val="20"/>
          <w:szCs w:val="20"/>
          <w:lang w:eastAsia="sl-SI"/>
        </w:rPr>
      </w:pPr>
    </w:p>
    <w:p w:rsidR="00C11D88" w:rsidRPr="00E83ED6" w:rsidRDefault="00C11D88" w:rsidP="00C11D88">
      <w:pPr>
        <w:spacing w:line="240" w:lineRule="auto"/>
        <w:rPr>
          <w:rFonts w:eastAsia="Times New Roman"/>
          <w:b/>
          <w:lang w:eastAsia="sl-SI"/>
        </w:rPr>
      </w:pPr>
    </w:p>
    <w:p w:rsidR="007D48DB" w:rsidRPr="00E83ED6" w:rsidRDefault="007D48DB" w:rsidP="006E4125">
      <w:r w:rsidRPr="00E83ED6">
        <w:t>Na podlagi 18. člena Statuta Občine Renče - Vogrsko (Uradni list RS, št. 22/12 – uradno prečiščeno besedilo</w:t>
      </w:r>
      <w:r w:rsidR="000B22AF" w:rsidRPr="00E83ED6">
        <w:t xml:space="preserve">, </w:t>
      </w:r>
      <w:r w:rsidR="000B22AF" w:rsidRPr="00E83ED6">
        <w:rPr>
          <w:rFonts w:eastAsia="Times New Roman"/>
          <w:lang w:eastAsia="sl-SI"/>
        </w:rPr>
        <w:t>88/15 in 14/18</w:t>
      </w:r>
      <w:r w:rsidRPr="00E83ED6">
        <w:t>), prvega  odstavka 5. člena Uredbe o metodologiji za oblikovanje cen storitev obveznih občinskih gospodarskih javnih služb varstva okolja (Uradni list RS, št. 87/12 in 109/12) je Občinski svet Občine Renče-Vogrsko na ________ seji dne _________sprejel naslednji</w:t>
      </w:r>
      <w:r w:rsidR="006E4125" w:rsidRPr="00E83ED6">
        <w:t xml:space="preserve"> </w:t>
      </w:r>
    </w:p>
    <w:p w:rsidR="007D48DB" w:rsidRPr="00E83ED6" w:rsidRDefault="007D48DB" w:rsidP="006E4125">
      <w:pPr>
        <w:keepNext/>
        <w:keepLines/>
        <w:spacing w:before="200"/>
        <w:jc w:val="center"/>
        <w:outlineLvl w:val="3"/>
        <w:rPr>
          <w:b/>
          <w:bCs/>
          <w:iCs/>
        </w:rPr>
      </w:pPr>
      <w:r w:rsidRPr="00E83ED6">
        <w:rPr>
          <w:b/>
          <w:bCs/>
          <w:iCs/>
        </w:rPr>
        <w:t xml:space="preserve">SKLEP </w:t>
      </w:r>
    </w:p>
    <w:p w:rsidR="007D48DB" w:rsidRPr="00E83ED6" w:rsidRDefault="007D48DB" w:rsidP="008D4229">
      <w:pPr>
        <w:jc w:val="center"/>
      </w:pPr>
      <w:r w:rsidRPr="00E83ED6">
        <w:t>1.</w:t>
      </w:r>
    </w:p>
    <w:p w:rsidR="000B22AF" w:rsidRPr="00E83ED6" w:rsidRDefault="000B22AF" w:rsidP="000B22AF">
      <w:pPr>
        <w:autoSpaceDE w:val="0"/>
        <w:autoSpaceDN w:val="0"/>
        <w:adjustRightInd w:val="0"/>
        <w:spacing w:line="240" w:lineRule="auto"/>
      </w:pPr>
      <w:r w:rsidRPr="00E83ED6">
        <w:t>Občinski svet Občine Renče – Vogrsko potrjuje z Elaboratom o oblikovanju cene gospodarskih javnih služb ravnanja z odpadki predlagane cene, ki jih je predlagal izvajalec javnih služb Komunala Nova Gorica d. d. z dne 1</w:t>
      </w:r>
      <w:r w:rsidR="00E83ED6">
        <w:t>4</w:t>
      </w:r>
      <w:r w:rsidRPr="00E83ED6">
        <w:t xml:space="preserve">. </w:t>
      </w:r>
      <w:r w:rsidR="00E83ED6">
        <w:t>5</w:t>
      </w:r>
      <w:r w:rsidRPr="00E83ED6">
        <w:t>. 20</w:t>
      </w:r>
      <w:r w:rsidR="00E83ED6">
        <w:t>20</w:t>
      </w:r>
      <w:r w:rsidRPr="00E83ED6">
        <w:t>.</w:t>
      </w:r>
    </w:p>
    <w:p w:rsidR="000B22AF" w:rsidRPr="00E83ED6" w:rsidRDefault="000B22AF" w:rsidP="000B22AF">
      <w:pPr>
        <w:autoSpaceDE w:val="0"/>
        <w:autoSpaceDN w:val="0"/>
        <w:adjustRightInd w:val="0"/>
        <w:spacing w:line="240" w:lineRule="auto"/>
      </w:pP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Cene storitev (brez DDV) znašajo:</w:t>
      </w:r>
    </w:p>
    <w:p w:rsid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1. Zbiranje določenih vrst komunalnih odpadkov: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javne infrastrukture za zbiranje mešanih komunalnih odpadkov znaša 0,0006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EUR/kg.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storitve zbiranja mešanih komunalnih odpadkov znaša 0,1950 EUR/kg.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javne infrastrukture za zbiranje bioloških odpadkov znaša 0,0243 EUR/kg.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storitve zbiranje bioloških odpadkov znaša 0,2612 EUR/kg.</w:t>
      </w:r>
    </w:p>
    <w:p w:rsid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2. Obdelava določenih vrst komunalnih odpadkov: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javne infrastrukture za obdelavo mešanih komunalnih odpadkov znaša 0,0133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EUR/kg.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storitve obdelave mešanih komunalnih odpadkov znaša 0,0701 EUR/kg.</w:t>
      </w:r>
    </w:p>
    <w:p w:rsid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3. Odlaganje ostankov predelave ali odstranjevanja komunalnih odpadkov: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javne infrastrukture za odlaganje mešanih komunalnih odpadkov znaša 0,0026</w:t>
      </w:r>
    </w:p>
    <w:p w:rsidR="00E83ED6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EUR/kg.</w:t>
      </w:r>
    </w:p>
    <w:p w:rsidR="007D48DB" w:rsidRPr="00E83ED6" w:rsidRDefault="00E83ED6" w:rsidP="00E83ED6">
      <w:pPr>
        <w:pStyle w:val="Default"/>
        <w:rPr>
          <w:color w:val="auto"/>
          <w:sz w:val="22"/>
          <w:szCs w:val="22"/>
          <w:lang w:val="sl-SI" w:eastAsia="sl-SI"/>
        </w:rPr>
      </w:pPr>
      <w:r w:rsidRPr="00E83ED6">
        <w:rPr>
          <w:color w:val="auto"/>
          <w:sz w:val="22"/>
          <w:szCs w:val="22"/>
          <w:lang w:val="sl-SI" w:eastAsia="sl-SI"/>
        </w:rPr>
        <w:t>• Cena storitve odlaganja mešanih komunalnih odpadkov znaša 0,0221 EUR/kg.</w:t>
      </w:r>
    </w:p>
    <w:p w:rsidR="007D48DB" w:rsidRPr="00E83ED6" w:rsidRDefault="007D48DB" w:rsidP="007D48DB">
      <w:pPr>
        <w:pStyle w:val="CM3"/>
        <w:jc w:val="center"/>
        <w:rPr>
          <w:sz w:val="22"/>
          <w:szCs w:val="22"/>
        </w:rPr>
      </w:pPr>
      <w:r w:rsidRPr="00E83ED6">
        <w:rPr>
          <w:sz w:val="22"/>
          <w:szCs w:val="22"/>
        </w:rPr>
        <w:t>2.</w:t>
      </w:r>
    </w:p>
    <w:p w:rsidR="007D48DB" w:rsidRPr="00E83ED6" w:rsidRDefault="007D48DB" w:rsidP="007D48DB">
      <w:pPr>
        <w:pStyle w:val="CM5"/>
        <w:rPr>
          <w:sz w:val="22"/>
          <w:szCs w:val="22"/>
        </w:rPr>
      </w:pPr>
    </w:p>
    <w:p w:rsidR="000B22AF" w:rsidRPr="00E83ED6" w:rsidRDefault="000B22AF" w:rsidP="000B22A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sl-SI"/>
        </w:rPr>
      </w:pPr>
    </w:p>
    <w:p w:rsidR="000B22AF" w:rsidRPr="00E83ED6" w:rsidRDefault="000B22AF" w:rsidP="000B22AF">
      <w:pPr>
        <w:autoSpaceDE w:val="0"/>
        <w:autoSpaceDN w:val="0"/>
        <w:adjustRightInd w:val="0"/>
        <w:spacing w:line="240" w:lineRule="auto"/>
      </w:pPr>
      <w:r w:rsidRPr="00E83ED6">
        <w:t>Ta sklep začne veljati takoj</w:t>
      </w:r>
      <w:r w:rsidR="004E5E34" w:rsidRPr="00E83ED6">
        <w:t xml:space="preserve"> po objavi v Uradnih objavah v občinskem glasilu</w:t>
      </w:r>
      <w:r w:rsidRPr="00E83ED6">
        <w:t>, uporabljati pa se začne s 1.</w:t>
      </w:r>
      <w:r w:rsidR="004E5E34" w:rsidRPr="00E83ED6">
        <w:t xml:space="preserve"> </w:t>
      </w:r>
      <w:r w:rsidRPr="00E83ED6">
        <w:t>7.</w:t>
      </w:r>
      <w:r w:rsidR="004E5E34" w:rsidRPr="00E83ED6">
        <w:t xml:space="preserve"> </w:t>
      </w:r>
      <w:r w:rsidRPr="00E83ED6">
        <w:t>20</w:t>
      </w:r>
      <w:r w:rsidR="00E83ED6">
        <w:t>20</w:t>
      </w:r>
      <w:r w:rsidRPr="00E83ED6">
        <w:t>.</w:t>
      </w:r>
    </w:p>
    <w:p w:rsidR="007D48DB" w:rsidRPr="00E83ED6" w:rsidRDefault="008D4229" w:rsidP="008D4229">
      <w:pPr>
        <w:autoSpaceDE w:val="0"/>
        <w:autoSpaceDN w:val="0"/>
        <w:adjustRightInd w:val="0"/>
        <w:spacing w:line="240" w:lineRule="auto"/>
      </w:pP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</w:p>
    <w:p w:rsidR="007D48DB" w:rsidRPr="00E83ED6" w:rsidRDefault="007D48DB" w:rsidP="007D48DB"/>
    <w:p w:rsidR="007D48DB" w:rsidRPr="00E83ED6" w:rsidRDefault="007D48DB" w:rsidP="007D48DB">
      <w:r w:rsidRPr="00E83ED6">
        <w:t xml:space="preserve">Številka:    </w:t>
      </w:r>
    </w:p>
    <w:p w:rsidR="007D48DB" w:rsidRPr="00E83ED6" w:rsidRDefault="007D48DB" w:rsidP="007D48DB">
      <w:r w:rsidRPr="00E83ED6">
        <w:t>Bukovica:</w:t>
      </w:r>
    </w:p>
    <w:p w:rsidR="007D48DB" w:rsidRPr="00E83ED6" w:rsidRDefault="007D48DB" w:rsidP="007D48DB"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</w:r>
      <w:r w:rsidRPr="00E83ED6">
        <w:tab/>
        <w:t xml:space="preserve">      </w:t>
      </w:r>
      <w:r w:rsidR="00E83ED6">
        <w:t>Tarik Žigon</w:t>
      </w:r>
    </w:p>
    <w:p w:rsidR="007D48DB" w:rsidRPr="00E83ED6" w:rsidRDefault="007D48DB" w:rsidP="007D48DB">
      <w:r w:rsidRPr="00E83ED6">
        <w:t xml:space="preserve">                                                                                                        </w:t>
      </w:r>
      <w:r w:rsidR="006E4125" w:rsidRPr="00E83ED6">
        <w:t xml:space="preserve">      </w:t>
      </w:r>
      <w:r w:rsidRPr="00E83ED6">
        <w:t xml:space="preserve">  župan</w:t>
      </w:r>
    </w:p>
    <w:p w:rsidR="007D48DB" w:rsidRPr="00E83ED6" w:rsidRDefault="007D48DB" w:rsidP="007D48DB"/>
    <w:p w:rsidR="007D48DB" w:rsidRPr="000B22AF" w:rsidRDefault="007D48DB" w:rsidP="007D48DB"/>
    <w:p w:rsidR="00E966E1" w:rsidRDefault="00E966E1"/>
    <w:sectPr w:rsidR="00E96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574" w:rsidRDefault="00952BC9">
      <w:pPr>
        <w:spacing w:line="240" w:lineRule="auto"/>
      </w:pPr>
      <w:r>
        <w:separator/>
      </w:r>
    </w:p>
  </w:endnote>
  <w:endnote w:type="continuationSeparator" w:id="0">
    <w:p w:rsidR="00717574" w:rsidRDefault="0095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574" w:rsidRDefault="00952BC9">
      <w:pPr>
        <w:spacing w:line="240" w:lineRule="auto"/>
      </w:pPr>
      <w:r>
        <w:separator/>
      </w:r>
    </w:p>
  </w:footnote>
  <w:footnote w:type="continuationSeparator" w:id="0">
    <w:p w:rsidR="00717574" w:rsidRDefault="00952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B56" w:rsidRPr="00BA26F4" w:rsidRDefault="00BA26F4">
    <w:pPr>
      <w:pStyle w:val="Glava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11</w:t>
    </w:r>
    <w:r w:rsidR="00AE5E6D">
      <w:rPr>
        <w:rFonts w:ascii="Arial" w:hAnsi="Arial" w:cs="Arial"/>
        <w:color w:val="999999"/>
        <w:sz w:val="40"/>
        <w:szCs w:val="40"/>
      </w:rPr>
      <w:t>.</w:t>
    </w:r>
    <w:r w:rsidR="00AE5E6D" w:rsidRPr="009D2CAD">
      <w:rPr>
        <w:rFonts w:ascii="Arial" w:hAnsi="Arial" w:cs="Arial"/>
        <w:color w:val="999999"/>
        <w:sz w:val="40"/>
        <w:szCs w:val="40"/>
      </w:rPr>
      <w:t xml:space="preserve"> </w:t>
    </w:r>
    <w:r w:rsidR="00AE5E6D" w:rsidRPr="009D2CAD">
      <w:rPr>
        <w:rFonts w:ascii="Arial" w:hAnsi="Arial" w:cs="Arial"/>
        <w:color w:val="999999"/>
        <w:sz w:val="40"/>
        <w:szCs w:val="40"/>
      </w:rPr>
      <w:t>redna seja</w:t>
    </w:r>
    <w:r w:rsidR="00AE5E6D">
      <w:rPr>
        <w:rFonts w:ascii="Arial" w:hAnsi="Arial" w:cs="Arial"/>
        <w:color w:val="999999"/>
        <w:sz w:val="40"/>
        <w:szCs w:val="40"/>
      </w:rPr>
      <w:tab/>
    </w:r>
    <w:r w:rsidR="00AE5E6D">
      <w:rPr>
        <w:rFonts w:ascii="Arial" w:hAnsi="Arial" w:cs="Arial"/>
        <w:color w:val="999999"/>
        <w:sz w:val="40"/>
        <w:szCs w:val="40"/>
      </w:rPr>
      <w:tab/>
    </w:r>
    <w:r w:rsidR="00D8163B">
      <w:rPr>
        <w:rFonts w:ascii="Arial" w:hAnsi="Arial" w:cs="Arial"/>
        <w:color w:val="999999"/>
        <w:sz w:val="40"/>
        <w:szCs w:val="40"/>
      </w:rPr>
      <w:t>2</w:t>
    </w:r>
    <w:r w:rsidR="00AD4351">
      <w:rPr>
        <w:rFonts w:ascii="Arial" w:hAnsi="Arial" w:cs="Arial"/>
        <w:color w:val="999999"/>
        <w:sz w:val="40"/>
        <w:szCs w:val="40"/>
      </w:rPr>
      <w:t>.</w:t>
    </w:r>
    <w:r w:rsidR="00AE5E6D">
      <w:rPr>
        <w:rFonts w:ascii="Arial" w:hAnsi="Arial" w:cs="Arial"/>
        <w:color w:val="999999"/>
        <w:sz w:val="40"/>
        <w:szCs w:val="40"/>
      </w:rPr>
      <w:t xml:space="preserve"> točka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06B92"/>
    <w:multiLevelType w:val="hybridMultilevel"/>
    <w:tmpl w:val="1B642E0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461"/>
    <w:multiLevelType w:val="hybridMultilevel"/>
    <w:tmpl w:val="A3B02D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AD33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A1996"/>
    <w:multiLevelType w:val="hybridMultilevel"/>
    <w:tmpl w:val="9BE2A762"/>
    <w:lvl w:ilvl="0" w:tplc="5B7E76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4A596C"/>
    <w:multiLevelType w:val="hybridMultilevel"/>
    <w:tmpl w:val="00E8239A"/>
    <w:lvl w:ilvl="0" w:tplc="03B22A9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302"/>
    <w:multiLevelType w:val="multilevel"/>
    <w:tmpl w:val="BF465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F7F99"/>
    <w:multiLevelType w:val="hybridMultilevel"/>
    <w:tmpl w:val="CDBE77AC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1D0D"/>
    <w:multiLevelType w:val="hybridMultilevel"/>
    <w:tmpl w:val="4F6C53A0"/>
    <w:lvl w:ilvl="0" w:tplc="3FFAD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31860"/>
    <w:multiLevelType w:val="hybridMultilevel"/>
    <w:tmpl w:val="73D42C12"/>
    <w:lvl w:ilvl="0" w:tplc="9958628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88"/>
    <w:rsid w:val="00050555"/>
    <w:rsid w:val="00062C6E"/>
    <w:rsid w:val="0006598D"/>
    <w:rsid w:val="000B22AF"/>
    <w:rsid w:val="000C14CA"/>
    <w:rsid w:val="000C4C4B"/>
    <w:rsid w:val="000E5755"/>
    <w:rsid w:val="0010736C"/>
    <w:rsid w:val="00135E91"/>
    <w:rsid w:val="0015719C"/>
    <w:rsid w:val="0018345A"/>
    <w:rsid w:val="00190E73"/>
    <w:rsid w:val="001D62E7"/>
    <w:rsid w:val="001E1303"/>
    <w:rsid w:val="00260F54"/>
    <w:rsid w:val="002B03F7"/>
    <w:rsid w:val="003315D3"/>
    <w:rsid w:val="00346208"/>
    <w:rsid w:val="00371624"/>
    <w:rsid w:val="003921F4"/>
    <w:rsid w:val="004A20FC"/>
    <w:rsid w:val="004B3A83"/>
    <w:rsid w:val="004C3043"/>
    <w:rsid w:val="004E0D25"/>
    <w:rsid w:val="004E5E34"/>
    <w:rsid w:val="00526A89"/>
    <w:rsid w:val="005D00FD"/>
    <w:rsid w:val="005D1CE3"/>
    <w:rsid w:val="00606BA2"/>
    <w:rsid w:val="00647857"/>
    <w:rsid w:val="00671270"/>
    <w:rsid w:val="00695F6E"/>
    <w:rsid w:val="006E4125"/>
    <w:rsid w:val="006F7817"/>
    <w:rsid w:val="00701CD8"/>
    <w:rsid w:val="00717574"/>
    <w:rsid w:val="00724242"/>
    <w:rsid w:val="00785388"/>
    <w:rsid w:val="00796C67"/>
    <w:rsid w:val="007D48DB"/>
    <w:rsid w:val="00821219"/>
    <w:rsid w:val="00837644"/>
    <w:rsid w:val="008B5CB1"/>
    <w:rsid w:val="008D4229"/>
    <w:rsid w:val="008E1A40"/>
    <w:rsid w:val="008F03B1"/>
    <w:rsid w:val="008F05BF"/>
    <w:rsid w:val="0092087B"/>
    <w:rsid w:val="00952BC9"/>
    <w:rsid w:val="00962C9D"/>
    <w:rsid w:val="009B64E5"/>
    <w:rsid w:val="009C3D4C"/>
    <w:rsid w:val="009E33F3"/>
    <w:rsid w:val="00A4046E"/>
    <w:rsid w:val="00AA568F"/>
    <w:rsid w:val="00AD4351"/>
    <w:rsid w:val="00AE4255"/>
    <w:rsid w:val="00AE5E6D"/>
    <w:rsid w:val="00B278AF"/>
    <w:rsid w:val="00B412D7"/>
    <w:rsid w:val="00BA26F4"/>
    <w:rsid w:val="00BE2E75"/>
    <w:rsid w:val="00C11D88"/>
    <w:rsid w:val="00C55C00"/>
    <w:rsid w:val="00C91842"/>
    <w:rsid w:val="00CA6DBD"/>
    <w:rsid w:val="00CC0F15"/>
    <w:rsid w:val="00CC1895"/>
    <w:rsid w:val="00CC694D"/>
    <w:rsid w:val="00D457F8"/>
    <w:rsid w:val="00D8163B"/>
    <w:rsid w:val="00D85464"/>
    <w:rsid w:val="00D969DE"/>
    <w:rsid w:val="00E83ED6"/>
    <w:rsid w:val="00E93550"/>
    <w:rsid w:val="00E966E1"/>
    <w:rsid w:val="00F05EF6"/>
    <w:rsid w:val="00F977A5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AAFC7"/>
  <w15:docId w15:val="{F8242F5F-AD85-4DAF-99C0-B7E285D5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11D8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11D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uiPriority w:val="99"/>
    <w:rsid w:val="00AA568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lokbesedila">
    <w:name w:val="Block Text"/>
    <w:basedOn w:val="Navaden"/>
    <w:rsid w:val="00AA568F"/>
    <w:pPr>
      <w:spacing w:line="240" w:lineRule="auto"/>
      <w:ind w:left="360" w:right="-314"/>
    </w:pPr>
    <w:rPr>
      <w:rFonts w:eastAsia="Times New Roman" w:cs="Times New Roman"/>
      <w:sz w:val="24"/>
      <w:szCs w:val="20"/>
      <w:lang w:eastAsia="sl-SI"/>
    </w:rPr>
  </w:style>
  <w:style w:type="paragraph" w:customStyle="1" w:styleId="ZnakZnakZnak">
    <w:name w:val="Znak Znak Znak"/>
    <w:basedOn w:val="Navaden"/>
    <w:rsid w:val="005D00FD"/>
    <w:pPr>
      <w:spacing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CM5">
    <w:name w:val="CM5"/>
    <w:basedOn w:val="Default"/>
    <w:next w:val="Default"/>
    <w:uiPriority w:val="99"/>
    <w:rsid w:val="007D48DB"/>
    <w:pPr>
      <w:widowControl w:val="0"/>
    </w:pPr>
    <w:rPr>
      <w:color w:val="auto"/>
      <w:lang w:val="sl-SI" w:eastAsia="sl-SI"/>
    </w:rPr>
  </w:style>
  <w:style w:type="paragraph" w:customStyle="1" w:styleId="CM3">
    <w:name w:val="CM3"/>
    <w:basedOn w:val="Default"/>
    <w:next w:val="Default"/>
    <w:uiPriority w:val="99"/>
    <w:rsid w:val="007D48DB"/>
    <w:pPr>
      <w:widowControl w:val="0"/>
      <w:spacing w:line="253" w:lineRule="atLeast"/>
    </w:pPr>
    <w:rPr>
      <w:color w:val="auto"/>
      <w:lang w:val="sl-SI" w:eastAsia="sl-SI"/>
    </w:rPr>
  </w:style>
  <w:style w:type="paragraph" w:customStyle="1" w:styleId="CM7">
    <w:name w:val="CM7"/>
    <w:basedOn w:val="Default"/>
    <w:next w:val="Default"/>
    <w:uiPriority w:val="99"/>
    <w:rsid w:val="007D48DB"/>
    <w:pPr>
      <w:widowControl w:val="0"/>
    </w:pPr>
    <w:rPr>
      <w:color w:val="auto"/>
      <w:lang w:val="sl-SI" w:eastAsia="sl-SI"/>
    </w:rPr>
  </w:style>
  <w:style w:type="paragraph" w:styleId="Odstavekseznama">
    <w:name w:val="List Paragraph"/>
    <w:basedOn w:val="Navaden"/>
    <w:uiPriority w:val="34"/>
    <w:qFormat/>
    <w:rsid w:val="007D48DB"/>
    <w:pPr>
      <w:ind w:left="708"/>
    </w:pPr>
    <w:rPr>
      <w:rFonts w:ascii="Calibri" w:eastAsia="Times New Roman" w:hAnsi="Calibri" w:cs="Times New Roman"/>
      <w:lang w:eastAsia="sl-SI"/>
    </w:rPr>
  </w:style>
  <w:style w:type="table" w:styleId="Tabelamrea">
    <w:name w:val="Table Grid"/>
    <w:basedOn w:val="Navadnatabela"/>
    <w:uiPriority w:val="59"/>
    <w:rsid w:val="00062C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F977A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Ana Vuk</cp:lastModifiedBy>
  <cp:revision>6</cp:revision>
  <dcterms:created xsi:type="dcterms:W3CDTF">2020-06-08T13:29:00Z</dcterms:created>
  <dcterms:modified xsi:type="dcterms:W3CDTF">2020-06-16T15:32:00Z</dcterms:modified>
</cp:coreProperties>
</file>