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BE19" w14:textId="77777777" w:rsidR="009B0C53" w:rsidRPr="001E1177" w:rsidRDefault="009B0C53" w:rsidP="009B0C53">
      <w:pPr>
        <w:jc w:val="both"/>
        <w:rPr>
          <w:rFonts w:ascii="Arial" w:hAnsi="Arial" w:cs="Arial"/>
          <w:b/>
          <w:sz w:val="22"/>
          <w:szCs w:val="22"/>
        </w:rPr>
      </w:pPr>
      <w:r w:rsidRPr="001E1177">
        <w:rPr>
          <w:rFonts w:ascii="Arial" w:hAnsi="Arial" w:cs="Arial"/>
          <w:b/>
          <w:sz w:val="22"/>
          <w:szCs w:val="22"/>
        </w:rPr>
        <w:t>OBČINA RENČE-VOGRSKO</w:t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  <w:t xml:space="preserve">                    PREDLOG</w:t>
      </w:r>
    </w:p>
    <w:p w14:paraId="10EDA990" w14:textId="1F2CE389" w:rsidR="009B0C53" w:rsidRPr="001E1177" w:rsidRDefault="009B0C53" w:rsidP="009B0C5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E1177">
        <w:rPr>
          <w:rFonts w:ascii="Arial" w:hAnsi="Arial" w:cs="Arial"/>
          <w:b/>
          <w:sz w:val="22"/>
          <w:szCs w:val="22"/>
        </w:rPr>
        <w:t>OBČINSKI SVET</w:t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</w:p>
    <w:p w14:paraId="088EC30C" w14:textId="77777777" w:rsidR="009B0C53" w:rsidRPr="001E1177" w:rsidRDefault="009B0C53" w:rsidP="009B0C5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sz w:val="22"/>
          <w:szCs w:val="22"/>
        </w:rPr>
        <w:tab/>
      </w:r>
      <w:r w:rsidRPr="001E1177">
        <w:rPr>
          <w:rFonts w:ascii="Arial" w:hAnsi="Arial" w:cs="Arial"/>
          <w:b/>
          <w:color w:val="00CCFF"/>
          <w:sz w:val="22"/>
          <w:szCs w:val="22"/>
        </w:rPr>
        <w:t xml:space="preserve">                                   </w:t>
      </w:r>
    </w:p>
    <w:p w14:paraId="67DD4CA5" w14:textId="77777777" w:rsidR="009B0C53" w:rsidRPr="001E1177" w:rsidRDefault="009B0C53" w:rsidP="009B0C5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E1177">
        <w:rPr>
          <w:rFonts w:ascii="Arial" w:hAnsi="Arial" w:cs="Arial"/>
          <w:i/>
          <w:sz w:val="22"/>
          <w:szCs w:val="22"/>
          <w:u w:val="single"/>
        </w:rPr>
        <w:t>NASLOV:</w:t>
      </w:r>
    </w:p>
    <w:p w14:paraId="2FD23301" w14:textId="77777777" w:rsidR="009B0C53" w:rsidRPr="001E1177" w:rsidRDefault="009B0C53" w:rsidP="009B0C53">
      <w:pPr>
        <w:jc w:val="both"/>
        <w:rPr>
          <w:rFonts w:ascii="Arial" w:hAnsi="Arial" w:cs="Arial"/>
          <w:b/>
          <w:sz w:val="22"/>
          <w:szCs w:val="22"/>
        </w:rPr>
      </w:pPr>
    </w:p>
    <w:p w14:paraId="2DFB77C5" w14:textId="2792D662" w:rsidR="009B0C53" w:rsidRPr="00AC1DE2" w:rsidRDefault="00435A41" w:rsidP="00D9554E">
      <w:pPr>
        <w:jc w:val="both"/>
        <w:rPr>
          <w:rFonts w:ascii="Arial" w:hAnsi="Arial" w:cs="Arial"/>
          <w:b/>
          <w:sz w:val="28"/>
          <w:szCs w:val="28"/>
        </w:rPr>
      </w:pPr>
      <w:r w:rsidRPr="00AC1DE2">
        <w:rPr>
          <w:rFonts w:ascii="Arial" w:hAnsi="Arial" w:cs="Arial"/>
          <w:b/>
          <w:sz w:val="28"/>
          <w:szCs w:val="28"/>
        </w:rPr>
        <w:t>SKLEP O DOLOČITVI ODŠKODNINE ZA PRIDOBITEV SLUŽNOSTNE PRAVICE NA</w:t>
      </w:r>
      <w:r w:rsidR="00D9554E" w:rsidRPr="00AC1DE2">
        <w:rPr>
          <w:rFonts w:ascii="Arial" w:hAnsi="Arial" w:cs="Arial"/>
          <w:b/>
          <w:sz w:val="28"/>
          <w:szCs w:val="28"/>
        </w:rPr>
        <w:t xml:space="preserve"> </w:t>
      </w:r>
      <w:r w:rsidRPr="00AC1DE2">
        <w:rPr>
          <w:rFonts w:ascii="Arial" w:hAnsi="Arial" w:cs="Arial"/>
          <w:b/>
          <w:sz w:val="28"/>
          <w:szCs w:val="28"/>
        </w:rPr>
        <w:t>NEPREMIČNINAH V LASTI OBČINE RENČE- VOGRSKO</w:t>
      </w:r>
    </w:p>
    <w:p w14:paraId="232E8235" w14:textId="77777777" w:rsidR="009B0C53" w:rsidRPr="001E1177" w:rsidRDefault="009B0C53" w:rsidP="009B0C53">
      <w:pPr>
        <w:rPr>
          <w:rFonts w:ascii="Arial" w:hAnsi="Arial" w:cs="Arial"/>
          <w:b/>
          <w:sz w:val="22"/>
          <w:szCs w:val="22"/>
        </w:rPr>
      </w:pPr>
    </w:p>
    <w:p w14:paraId="4A45E33A" w14:textId="35C01A5B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i/>
          <w:sz w:val="22"/>
          <w:szCs w:val="22"/>
          <w:u w:val="single"/>
        </w:rPr>
        <w:t>PRAVNA PODLAGA:</w:t>
      </w:r>
      <w:r w:rsidRPr="001E1177">
        <w:rPr>
          <w:rFonts w:ascii="Arial" w:hAnsi="Arial" w:cs="Arial"/>
          <w:sz w:val="22"/>
          <w:szCs w:val="22"/>
        </w:rPr>
        <w:t xml:space="preserve">  </w:t>
      </w:r>
    </w:p>
    <w:p w14:paraId="25BFE622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02528842" w14:textId="267D3977" w:rsidR="009B0C53" w:rsidRPr="001E1177" w:rsidRDefault="009B0C53" w:rsidP="009B0C5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70. člen Zakona o stvarnem premoženju države in samoupravnih lokalnih skupnosti (Uradni list RS, št. 11/18 in 79/18)</w:t>
      </w:r>
    </w:p>
    <w:p w14:paraId="7D90797D" w14:textId="4DEC6E5B" w:rsidR="009B0C53" w:rsidRPr="001E1177" w:rsidRDefault="009B0C53" w:rsidP="009B0C5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18. člen Statuta Občine Renče-Vogrsko (Uradni list RS, št. 22/12 – uradno prečiščeno besedilo, 88/15 in 14/18)</w:t>
      </w:r>
    </w:p>
    <w:p w14:paraId="2A91BC61" w14:textId="77777777" w:rsidR="009B0C53" w:rsidRPr="001E1177" w:rsidRDefault="009B0C53" w:rsidP="009B0C53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3F49467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i/>
          <w:sz w:val="22"/>
          <w:szCs w:val="22"/>
          <w:u w:val="single"/>
        </w:rPr>
        <w:t>PREDLAGATELJ:</w:t>
      </w:r>
      <w:r w:rsidRPr="001E1177">
        <w:rPr>
          <w:rFonts w:ascii="Arial" w:hAnsi="Arial" w:cs="Arial"/>
          <w:sz w:val="22"/>
          <w:szCs w:val="22"/>
        </w:rPr>
        <w:t xml:space="preserve">  </w:t>
      </w:r>
    </w:p>
    <w:p w14:paraId="48EE11FA" w14:textId="77777777" w:rsidR="009B0C53" w:rsidRPr="001E1177" w:rsidRDefault="009B0C53" w:rsidP="009B0C5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0348680" w14:textId="77777777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Tarik Žigon, župan</w:t>
      </w:r>
    </w:p>
    <w:p w14:paraId="2A18BECF" w14:textId="77777777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</w:p>
    <w:p w14:paraId="125CCAAB" w14:textId="77777777" w:rsidR="009B0C53" w:rsidRPr="001E1177" w:rsidRDefault="009B0C53" w:rsidP="009B0C53">
      <w:pPr>
        <w:rPr>
          <w:rFonts w:ascii="Arial" w:hAnsi="Arial" w:cs="Arial"/>
          <w:sz w:val="22"/>
          <w:szCs w:val="22"/>
          <w:u w:val="single"/>
        </w:rPr>
      </w:pPr>
      <w:r w:rsidRPr="001E1177">
        <w:rPr>
          <w:rFonts w:ascii="Arial" w:hAnsi="Arial" w:cs="Arial"/>
          <w:sz w:val="22"/>
          <w:szCs w:val="22"/>
          <w:u w:val="single"/>
        </w:rPr>
        <w:t xml:space="preserve">PRIPRAVLJALEC: </w:t>
      </w:r>
    </w:p>
    <w:p w14:paraId="0CD7AFD5" w14:textId="77777777" w:rsidR="009B0C53" w:rsidRPr="001E1177" w:rsidRDefault="009B0C53" w:rsidP="009B0C53">
      <w:pPr>
        <w:rPr>
          <w:rFonts w:ascii="Arial" w:hAnsi="Arial" w:cs="Arial"/>
          <w:sz w:val="22"/>
          <w:szCs w:val="22"/>
          <w:u w:val="single"/>
        </w:rPr>
      </w:pPr>
    </w:p>
    <w:p w14:paraId="49812A36" w14:textId="77777777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Župan, občinska uprava</w:t>
      </w:r>
    </w:p>
    <w:p w14:paraId="7B3D3D6B" w14:textId="77777777" w:rsidR="009B0C53" w:rsidRPr="001E1177" w:rsidRDefault="009B0C53" w:rsidP="009B0C53">
      <w:pPr>
        <w:rPr>
          <w:rFonts w:ascii="Arial" w:hAnsi="Arial" w:cs="Arial"/>
          <w:i/>
          <w:sz w:val="22"/>
          <w:szCs w:val="22"/>
          <w:u w:val="single"/>
        </w:rPr>
      </w:pPr>
    </w:p>
    <w:p w14:paraId="776A2FF9" w14:textId="77777777" w:rsidR="009B0C53" w:rsidRPr="001E1177" w:rsidRDefault="009B0C53" w:rsidP="009B0C53">
      <w:pPr>
        <w:rPr>
          <w:rFonts w:ascii="Arial" w:hAnsi="Arial" w:cs="Arial"/>
          <w:i/>
          <w:sz w:val="22"/>
          <w:szCs w:val="22"/>
          <w:u w:val="single"/>
        </w:rPr>
      </w:pPr>
      <w:r w:rsidRPr="001E1177">
        <w:rPr>
          <w:rFonts w:ascii="Arial" w:hAnsi="Arial" w:cs="Arial"/>
          <w:i/>
          <w:sz w:val="22"/>
          <w:szCs w:val="22"/>
          <w:u w:val="single"/>
        </w:rPr>
        <w:t xml:space="preserve">OBRAZLOŽITEV:  </w:t>
      </w:r>
    </w:p>
    <w:p w14:paraId="3FBF5845" w14:textId="2D124D98" w:rsidR="009B0C53" w:rsidRPr="001E1177" w:rsidRDefault="009B0C53" w:rsidP="009B0C53">
      <w:pPr>
        <w:rPr>
          <w:rFonts w:ascii="Arial" w:hAnsi="Arial" w:cs="Arial"/>
          <w:i/>
          <w:sz w:val="22"/>
          <w:szCs w:val="22"/>
          <w:u w:val="single"/>
        </w:rPr>
      </w:pPr>
    </w:p>
    <w:p w14:paraId="62CB5E6D" w14:textId="66465150" w:rsidR="00D51AF3" w:rsidRPr="001E1177" w:rsidRDefault="00D51AF3" w:rsidP="009B0C53">
      <w:pPr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 xml:space="preserve">Zakon o stvarnem premoženju države in samoupravnih lokalnih skupnosti (Uradni list RS, št. 11/18 in 79/18) v 70. členu določa, da je obremenjevanje nepremičnega premoženja s stvarnimi pravicami odplačno. Ena izmed stvarnih pravic je </w:t>
      </w:r>
      <w:r w:rsidR="006E14B6">
        <w:rPr>
          <w:rFonts w:ascii="Arial" w:hAnsi="Arial" w:cs="Arial"/>
          <w:iCs/>
          <w:sz w:val="22"/>
          <w:szCs w:val="22"/>
        </w:rPr>
        <w:t xml:space="preserve">tudi </w:t>
      </w:r>
      <w:r w:rsidRPr="001E1177">
        <w:rPr>
          <w:rFonts w:ascii="Arial" w:hAnsi="Arial" w:cs="Arial"/>
          <w:iCs/>
          <w:sz w:val="22"/>
          <w:szCs w:val="22"/>
        </w:rPr>
        <w:t>služnostna pravica. Občina ima za določitev vrednosti nadomestila za ustanovitev služnostne pravice sprejet</w:t>
      </w:r>
      <w:r w:rsidR="006513DB">
        <w:rPr>
          <w:rFonts w:ascii="Arial" w:hAnsi="Arial" w:cs="Arial"/>
          <w:iCs/>
          <w:sz w:val="22"/>
          <w:szCs w:val="22"/>
        </w:rPr>
        <w:t>i</w:t>
      </w:r>
      <w:r w:rsidRPr="001E1177">
        <w:rPr>
          <w:rFonts w:ascii="Arial" w:hAnsi="Arial" w:cs="Arial"/>
          <w:iCs/>
          <w:sz w:val="22"/>
          <w:szCs w:val="22"/>
        </w:rPr>
        <w:t xml:space="preserve"> Sklep o določitvi odškodnine zaradi omejitve lastninske pravice na zemljiščih, na katerih se ustanavlja služnostna pravica. Sklep je bil sprejet leta 2007 in določa naslednje cenik:</w:t>
      </w:r>
    </w:p>
    <w:p w14:paraId="08378C28" w14:textId="77777777" w:rsidR="00D51AF3" w:rsidRPr="001E1177" w:rsidRDefault="00D51AF3" w:rsidP="009B0C53">
      <w:pPr>
        <w:jc w:val="both"/>
        <w:rPr>
          <w:rFonts w:ascii="Arial" w:hAnsi="Arial" w:cs="Arial"/>
          <w:iCs/>
          <w:sz w:val="22"/>
          <w:szCs w:val="22"/>
        </w:rPr>
      </w:pPr>
    </w:p>
    <w:p w14:paraId="65C2E7DD" w14:textId="64C1FA64" w:rsidR="00D51AF3" w:rsidRPr="001E1177" w:rsidRDefault="00D51AF3" w:rsidP="00D51AF3">
      <w:pPr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>Odškodnine za pogodbeno ustanovljeno služnostno pravico na kmetijskih zemljiščih je:</w:t>
      </w:r>
    </w:p>
    <w:p w14:paraId="0145E560" w14:textId="7DF24DBD" w:rsidR="00D51AF3" w:rsidRPr="001E1177" w:rsidRDefault="00D51AF3" w:rsidP="00D51AF3">
      <w:pPr>
        <w:pStyle w:val="Odstavekseznama"/>
        <w:numPr>
          <w:ilvl w:val="0"/>
          <w:numId w:val="33"/>
        </w:num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>vrt, njiva 2,40 EUR/m2;</w:t>
      </w:r>
    </w:p>
    <w:p w14:paraId="717D506A" w14:textId="539D462B" w:rsidR="00D51AF3" w:rsidRPr="001E1177" w:rsidRDefault="00D51AF3" w:rsidP="00D51AF3">
      <w:pPr>
        <w:pStyle w:val="Odstavekseznama"/>
        <w:numPr>
          <w:ilvl w:val="0"/>
          <w:numId w:val="33"/>
        </w:num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>travnik 1,35 EUR/m2;</w:t>
      </w:r>
    </w:p>
    <w:p w14:paraId="6F82E9B8" w14:textId="5399B8DC" w:rsidR="00D51AF3" w:rsidRPr="001E1177" w:rsidRDefault="00D51AF3" w:rsidP="00D51AF3">
      <w:pPr>
        <w:pStyle w:val="Odstavekseznama"/>
        <w:numPr>
          <w:ilvl w:val="0"/>
          <w:numId w:val="33"/>
        </w:num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>gozd 1,00 EUR/m2;</w:t>
      </w:r>
    </w:p>
    <w:p w14:paraId="0C4D1CED" w14:textId="4B55B693" w:rsidR="00D51AF3" w:rsidRPr="001E1177" w:rsidRDefault="00D51AF3" w:rsidP="00D51AF3">
      <w:pPr>
        <w:pStyle w:val="Odstavekseznama"/>
        <w:numPr>
          <w:ilvl w:val="0"/>
          <w:numId w:val="33"/>
        </w:num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>pašnik 0,50 EUR/m2.</w:t>
      </w:r>
    </w:p>
    <w:p w14:paraId="71A1BF73" w14:textId="77777777" w:rsidR="00D51AF3" w:rsidRPr="001E1177" w:rsidRDefault="00D51AF3" w:rsidP="00D51AF3">
      <w:pPr>
        <w:jc w:val="both"/>
        <w:rPr>
          <w:rFonts w:ascii="Arial" w:hAnsi="Arial" w:cs="Arial"/>
          <w:iCs/>
          <w:sz w:val="22"/>
          <w:szCs w:val="22"/>
        </w:rPr>
      </w:pPr>
    </w:p>
    <w:p w14:paraId="055B64ED" w14:textId="09E723AD" w:rsidR="00D51AF3" w:rsidRPr="001E1177" w:rsidRDefault="00D51AF3" w:rsidP="00D51AF3">
      <w:pPr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 xml:space="preserve">Odškodnine za pogodbeno ustanovljeno služnostno pravico na stavbnih </w:t>
      </w:r>
      <w:r w:rsidR="00B02540">
        <w:rPr>
          <w:rFonts w:ascii="Arial" w:hAnsi="Arial" w:cs="Arial"/>
          <w:iCs/>
          <w:sz w:val="22"/>
          <w:szCs w:val="22"/>
        </w:rPr>
        <w:t>zemljiščih</w:t>
      </w:r>
      <w:r w:rsidRPr="001E1177">
        <w:rPr>
          <w:rFonts w:ascii="Arial" w:hAnsi="Arial" w:cs="Arial"/>
          <w:iCs/>
          <w:sz w:val="22"/>
          <w:szCs w:val="22"/>
        </w:rPr>
        <w:t xml:space="preserve"> je:</w:t>
      </w:r>
    </w:p>
    <w:p w14:paraId="1E3B8DC0" w14:textId="46046B5D" w:rsidR="00D51AF3" w:rsidRPr="001E1177" w:rsidRDefault="00D51AF3" w:rsidP="00D51AF3">
      <w:pPr>
        <w:pStyle w:val="Odstavekseznama"/>
        <w:numPr>
          <w:ilvl w:val="0"/>
          <w:numId w:val="33"/>
        </w:num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>zazidano stavbno zemljišče 3,00 EUR/m2;</w:t>
      </w:r>
    </w:p>
    <w:p w14:paraId="6DB9B452" w14:textId="25414E88" w:rsidR="00D51AF3" w:rsidRPr="001E1177" w:rsidRDefault="00D51AF3" w:rsidP="00D51AF3">
      <w:pPr>
        <w:pStyle w:val="Odstavekseznama"/>
        <w:numPr>
          <w:ilvl w:val="0"/>
          <w:numId w:val="33"/>
        </w:num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>nezazidano stavbno zemljišče 3,00 EUR/m2;</w:t>
      </w:r>
    </w:p>
    <w:p w14:paraId="5DD79691" w14:textId="53F58753" w:rsidR="009B0C53" w:rsidRPr="001E1177" w:rsidRDefault="00D51AF3" w:rsidP="00D51AF3">
      <w:pPr>
        <w:pStyle w:val="Odstavekseznama"/>
        <w:numPr>
          <w:ilvl w:val="0"/>
          <w:numId w:val="33"/>
        </w:num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>javna cesta 3,00 EUR/m2.</w:t>
      </w:r>
    </w:p>
    <w:p w14:paraId="0D554B1B" w14:textId="6779A0A9" w:rsidR="00D51AF3" w:rsidRPr="001E1177" w:rsidRDefault="00D51AF3" w:rsidP="00D51AF3">
      <w:pPr>
        <w:ind w:left="66"/>
        <w:jc w:val="both"/>
        <w:rPr>
          <w:rFonts w:ascii="Arial" w:hAnsi="Arial" w:cs="Arial"/>
          <w:iCs/>
          <w:sz w:val="22"/>
          <w:szCs w:val="22"/>
        </w:rPr>
      </w:pPr>
    </w:p>
    <w:p w14:paraId="3F63ED73" w14:textId="72CD42B3" w:rsidR="00BA44AF" w:rsidRPr="001E1177" w:rsidRDefault="00D51AF3" w:rsidP="00BA44AF">
      <w:pPr>
        <w:ind w:left="66"/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 xml:space="preserve">Ker navedene cene ne odražajo dejanska stanja na področju obremenjevanja nepremičnin, občina predlaga sprejetja </w:t>
      </w:r>
      <w:r w:rsidR="00BA44AF" w:rsidRPr="001E1177">
        <w:rPr>
          <w:rFonts w:ascii="Arial" w:hAnsi="Arial" w:cs="Arial"/>
          <w:iCs/>
          <w:sz w:val="22"/>
          <w:szCs w:val="22"/>
        </w:rPr>
        <w:t>novega sklepa za določitev načina odškodnine za pridobitev služnostne pravice na nepremičninah v lasti Občine Renče-Vogrsko.</w:t>
      </w:r>
    </w:p>
    <w:p w14:paraId="3659EEBA" w14:textId="33282213" w:rsidR="00BA44AF" w:rsidRPr="001E1177" w:rsidRDefault="00BA44AF" w:rsidP="00BA44AF">
      <w:pPr>
        <w:ind w:left="66"/>
        <w:jc w:val="both"/>
        <w:rPr>
          <w:rFonts w:ascii="Arial" w:hAnsi="Arial" w:cs="Arial"/>
          <w:iCs/>
          <w:sz w:val="22"/>
          <w:szCs w:val="22"/>
        </w:rPr>
      </w:pPr>
    </w:p>
    <w:p w14:paraId="25AFF7D7" w14:textId="4FC0A1A5" w:rsidR="00BA44AF" w:rsidRDefault="00BA44AF" w:rsidP="00BA44AF">
      <w:pPr>
        <w:ind w:left="66"/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 xml:space="preserve">Za pripravo predlaganega sklepa je občina zaprosila sodnega cenilca g. Stojana Vičič, ki je sodni cenilec za področje gradbeništva. </w:t>
      </w:r>
    </w:p>
    <w:p w14:paraId="6F0A91DF" w14:textId="77777777" w:rsidR="006513DB" w:rsidRDefault="006513DB" w:rsidP="00BA44AF">
      <w:pPr>
        <w:ind w:left="66"/>
        <w:jc w:val="both"/>
        <w:rPr>
          <w:rFonts w:ascii="Arial" w:hAnsi="Arial" w:cs="Arial"/>
          <w:iCs/>
          <w:sz w:val="22"/>
          <w:szCs w:val="22"/>
        </w:rPr>
      </w:pPr>
    </w:p>
    <w:p w14:paraId="6CB0009F" w14:textId="21049797" w:rsidR="002D57C6" w:rsidRDefault="001E1177" w:rsidP="00BA44AF">
      <w:pPr>
        <w:ind w:left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Predlagani sklep se </w:t>
      </w:r>
      <w:r w:rsidR="006513DB">
        <w:rPr>
          <w:rFonts w:ascii="Arial" w:hAnsi="Arial" w:cs="Arial"/>
          <w:iCs/>
          <w:sz w:val="22"/>
          <w:szCs w:val="22"/>
        </w:rPr>
        <w:t xml:space="preserve">bo </w:t>
      </w:r>
      <w:r>
        <w:rPr>
          <w:rFonts w:ascii="Arial" w:hAnsi="Arial" w:cs="Arial"/>
          <w:iCs/>
          <w:sz w:val="22"/>
          <w:szCs w:val="22"/>
        </w:rPr>
        <w:t>uporablja</w:t>
      </w:r>
      <w:r w:rsidR="006513DB">
        <w:rPr>
          <w:rFonts w:ascii="Arial" w:hAnsi="Arial" w:cs="Arial"/>
          <w:iCs/>
          <w:sz w:val="22"/>
          <w:szCs w:val="22"/>
        </w:rPr>
        <w:t>l</w:t>
      </w:r>
      <w:r>
        <w:rPr>
          <w:rFonts w:ascii="Arial" w:hAnsi="Arial" w:cs="Arial"/>
          <w:iCs/>
          <w:sz w:val="22"/>
          <w:szCs w:val="22"/>
        </w:rPr>
        <w:t xml:space="preserve"> za vložene vloge za ustanovitev služnost</w:t>
      </w:r>
      <w:r w:rsidR="00AE4513">
        <w:rPr>
          <w:rFonts w:ascii="Arial" w:hAnsi="Arial" w:cs="Arial"/>
          <w:iCs/>
          <w:sz w:val="22"/>
          <w:szCs w:val="22"/>
        </w:rPr>
        <w:t>ne pravice</w:t>
      </w:r>
      <w:r>
        <w:rPr>
          <w:rFonts w:ascii="Arial" w:hAnsi="Arial" w:cs="Arial"/>
          <w:iCs/>
          <w:sz w:val="22"/>
          <w:szCs w:val="22"/>
        </w:rPr>
        <w:t>,</w:t>
      </w:r>
      <w:r w:rsidR="00E975E5">
        <w:rPr>
          <w:rFonts w:ascii="Arial" w:hAnsi="Arial" w:cs="Arial"/>
          <w:iCs/>
          <w:sz w:val="22"/>
          <w:szCs w:val="22"/>
        </w:rPr>
        <w:t xml:space="preserve"> </w:t>
      </w:r>
      <w:r w:rsidR="006513DB">
        <w:rPr>
          <w:rFonts w:ascii="Arial" w:hAnsi="Arial" w:cs="Arial"/>
          <w:iCs/>
          <w:sz w:val="22"/>
          <w:szCs w:val="22"/>
        </w:rPr>
        <w:t xml:space="preserve">ki jih </w:t>
      </w:r>
      <w:r w:rsidR="00AE4513">
        <w:rPr>
          <w:rFonts w:ascii="Arial" w:hAnsi="Arial" w:cs="Arial"/>
          <w:iCs/>
          <w:sz w:val="22"/>
          <w:szCs w:val="22"/>
        </w:rPr>
        <w:t xml:space="preserve">predlagajo </w:t>
      </w:r>
      <w:r w:rsidR="00E975E5">
        <w:rPr>
          <w:rFonts w:ascii="Arial" w:hAnsi="Arial" w:cs="Arial"/>
          <w:iCs/>
          <w:sz w:val="22"/>
          <w:szCs w:val="22"/>
        </w:rPr>
        <w:t>občani</w:t>
      </w:r>
      <w:r w:rsidR="006A503B">
        <w:rPr>
          <w:rFonts w:ascii="Arial" w:hAnsi="Arial" w:cs="Arial"/>
          <w:iCs/>
          <w:sz w:val="22"/>
          <w:szCs w:val="22"/>
        </w:rPr>
        <w:t xml:space="preserve"> (pridobitev gradbenega dovoljenja, legalizacije, itd.)</w:t>
      </w:r>
      <w:r w:rsidR="00E975E5">
        <w:rPr>
          <w:rFonts w:ascii="Arial" w:hAnsi="Arial" w:cs="Arial"/>
          <w:iCs/>
          <w:sz w:val="22"/>
          <w:szCs w:val="22"/>
        </w:rPr>
        <w:t>. V</w:t>
      </w:r>
      <w:r>
        <w:rPr>
          <w:rFonts w:ascii="Arial" w:hAnsi="Arial" w:cs="Arial"/>
          <w:iCs/>
          <w:sz w:val="22"/>
          <w:szCs w:val="22"/>
        </w:rPr>
        <w:t xml:space="preserve"> primeru, </w:t>
      </w:r>
      <w:r w:rsidR="002D57C6">
        <w:rPr>
          <w:rFonts w:ascii="Arial" w:hAnsi="Arial" w:cs="Arial"/>
          <w:iCs/>
          <w:sz w:val="22"/>
          <w:szCs w:val="22"/>
        </w:rPr>
        <w:t>da bi občan zaprosil za ve</w:t>
      </w:r>
      <w:r w:rsidR="006A503B">
        <w:rPr>
          <w:rFonts w:ascii="Arial" w:hAnsi="Arial" w:cs="Arial"/>
          <w:iCs/>
          <w:sz w:val="22"/>
          <w:szCs w:val="22"/>
        </w:rPr>
        <w:t>čjo omejitev</w:t>
      </w:r>
      <w:r w:rsidR="00AE4513">
        <w:rPr>
          <w:rFonts w:ascii="Arial" w:hAnsi="Arial" w:cs="Arial"/>
          <w:iCs/>
          <w:sz w:val="22"/>
          <w:szCs w:val="22"/>
        </w:rPr>
        <w:t xml:space="preserve"> oziroma obremenitev</w:t>
      </w:r>
      <w:r w:rsidR="006A503B">
        <w:rPr>
          <w:rFonts w:ascii="Arial" w:hAnsi="Arial" w:cs="Arial"/>
          <w:iCs/>
          <w:sz w:val="22"/>
          <w:szCs w:val="22"/>
        </w:rPr>
        <w:t xml:space="preserve"> nepremičnine, pa </w:t>
      </w:r>
      <w:r w:rsidR="00AE4513">
        <w:rPr>
          <w:rFonts w:ascii="Arial" w:hAnsi="Arial" w:cs="Arial"/>
          <w:iCs/>
          <w:sz w:val="22"/>
          <w:szCs w:val="22"/>
        </w:rPr>
        <w:t xml:space="preserve">bi </w:t>
      </w:r>
      <w:r w:rsidR="00590211">
        <w:rPr>
          <w:rFonts w:ascii="Arial" w:hAnsi="Arial" w:cs="Arial"/>
          <w:iCs/>
          <w:sz w:val="22"/>
          <w:szCs w:val="22"/>
        </w:rPr>
        <w:t xml:space="preserve">občina </w:t>
      </w:r>
      <w:r w:rsidR="006A503B">
        <w:rPr>
          <w:rFonts w:ascii="Arial" w:hAnsi="Arial" w:cs="Arial"/>
          <w:iCs/>
          <w:sz w:val="22"/>
          <w:szCs w:val="22"/>
        </w:rPr>
        <w:t>zaprosil</w:t>
      </w:r>
      <w:r w:rsidR="00590211">
        <w:rPr>
          <w:rFonts w:ascii="Arial" w:hAnsi="Arial" w:cs="Arial"/>
          <w:iCs/>
          <w:sz w:val="22"/>
          <w:szCs w:val="22"/>
        </w:rPr>
        <w:t>a</w:t>
      </w:r>
      <w:r w:rsidR="006A503B">
        <w:rPr>
          <w:rFonts w:ascii="Arial" w:hAnsi="Arial" w:cs="Arial"/>
          <w:iCs/>
          <w:sz w:val="22"/>
          <w:szCs w:val="22"/>
        </w:rPr>
        <w:t xml:space="preserve"> </w:t>
      </w:r>
      <w:r w:rsidR="00C17E70">
        <w:rPr>
          <w:rFonts w:ascii="Arial" w:hAnsi="Arial" w:cs="Arial"/>
          <w:iCs/>
          <w:sz w:val="22"/>
          <w:szCs w:val="22"/>
        </w:rPr>
        <w:t xml:space="preserve">cenilca </w:t>
      </w:r>
      <w:r w:rsidR="006A503B">
        <w:rPr>
          <w:rFonts w:ascii="Arial" w:hAnsi="Arial" w:cs="Arial"/>
          <w:iCs/>
          <w:sz w:val="22"/>
          <w:szCs w:val="22"/>
        </w:rPr>
        <w:t>za cenitev obremenitve</w:t>
      </w:r>
      <w:r w:rsidR="0099761C">
        <w:rPr>
          <w:rFonts w:ascii="Arial" w:hAnsi="Arial" w:cs="Arial"/>
          <w:iCs/>
          <w:sz w:val="22"/>
          <w:szCs w:val="22"/>
        </w:rPr>
        <w:t xml:space="preserve"> nepremičnine,</w:t>
      </w:r>
      <w:r w:rsidR="006A503B">
        <w:rPr>
          <w:rFonts w:ascii="Arial" w:hAnsi="Arial" w:cs="Arial"/>
          <w:iCs/>
          <w:sz w:val="22"/>
          <w:szCs w:val="22"/>
        </w:rPr>
        <w:t xml:space="preserve"> </w:t>
      </w:r>
      <w:r w:rsidR="00AE1805">
        <w:rPr>
          <w:rFonts w:ascii="Arial" w:hAnsi="Arial" w:cs="Arial"/>
          <w:iCs/>
          <w:sz w:val="22"/>
          <w:szCs w:val="22"/>
        </w:rPr>
        <w:t>na stroške občana.</w:t>
      </w:r>
    </w:p>
    <w:p w14:paraId="32377D62" w14:textId="77777777" w:rsidR="002D57C6" w:rsidRDefault="002D57C6" w:rsidP="00BA44AF">
      <w:pPr>
        <w:ind w:left="66"/>
        <w:jc w:val="both"/>
        <w:rPr>
          <w:rFonts w:ascii="Arial" w:hAnsi="Arial" w:cs="Arial"/>
          <w:iCs/>
          <w:sz w:val="22"/>
          <w:szCs w:val="22"/>
        </w:rPr>
      </w:pPr>
    </w:p>
    <w:p w14:paraId="015A2311" w14:textId="6D940AF7" w:rsidR="001E1177" w:rsidRDefault="00045561" w:rsidP="00BA44AF">
      <w:pPr>
        <w:ind w:left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V primeru, da</w:t>
      </w:r>
      <w:r w:rsidR="001E1177">
        <w:rPr>
          <w:rFonts w:ascii="Arial" w:hAnsi="Arial" w:cs="Arial"/>
          <w:iCs/>
          <w:sz w:val="22"/>
          <w:szCs w:val="22"/>
        </w:rPr>
        <w:t xml:space="preserve"> odškodnino določajo drugi predpisi, se </w:t>
      </w:r>
      <w:r>
        <w:rPr>
          <w:rFonts w:ascii="Arial" w:hAnsi="Arial" w:cs="Arial"/>
          <w:iCs/>
          <w:sz w:val="22"/>
          <w:szCs w:val="22"/>
        </w:rPr>
        <w:t xml:space="preserve">bo </w:t>
      </w:r>
      <w:r w:rsidR="001E1177">
        <w:rPr>
          <w:rFonts w:ascii="Arial" w:hAnsi="Arial" w:cs="Arial"/>
          <w:iCs/>
          <w:sz w:val="22"/>
          <w:szCs w:val="22"/>
        </w:rPr>
        <w:t xml:space="preserve">odškodnina </w:t>
      </w:r>
      <w:r w:rsidR="00E975E5">
        <w:rPr>
          <w:rFonts w:ascii="Arial" w:hAnsi="Arial" w:cs="Arial"/>
          <w:iCs/>
          <w:sz w:val="22"/>
          <w:szCs w:val="22"/>
        </w:rPr>
        <w:t>določi</w:t>
      </w:r>
      <w:r>
        <w:rPr>
          <w:rFonts w:ascii="Arial" w:hAnsi="Arial" w:cs="Arial"/>
          <w:iCs/>
          <w:sz w:val="22"/>
          <w:szCs w:val="22"/>
        </w:rPr>
        <w:t>la v</w:t>
      </w:r>
      <w:r w:rsidR="00E975E5">
        <w:rPr>
          <w:rFonts w:ascii="Arial" w:hAnsi="Arial" w:cs="Arial"/>
          <w:iCs/>
          <w:sz w:val="22"/>
          <w:szCs w:val="22"/>
        </w:rPr>
        <w:t xml:space="preserve"> s skladu z </w:t>
      </w:r>
      <w:r w:rsidR="001E1177">
        <w:rPr>
          <w:rFonts w:ascii="Arial" w:hAnsi="Arial" w:cs="Arial"/>
          <w:iCs/>
          <w:sz w:val="22"/>
          <w:szCs w:val="22"/>
        </w:rPr>
        <w:t>drugimi predpisi</w:t>
      </w:r>
      <w:r w:rsidR="00E975E5">
        <w:rPr>
          <w:rFonts w:ascii="Arial" w:hAnsi="Arial" w:cs="Arial"/>
          <w:iCs/>
          <w:sz w:val="22"/>
          <w:szCs w:val="22"/>
        </w:rPr>
        <w:t>,</w:t>
      </w:r>
      <w:r w:rsidR="001E1177">
        <w:rPr>
          <w:rFonts w:ascii="Arial" w:hAnsi="Arial" w:cs="Arial"/>
          <w:iCs/>
          <w:sz w:val="22"/>
          <w:szCs w:val="22"/>
        </w:rPr>
        <w:t xml:space="preserve"> </w:t>
      </w:r>
      <w:r w:rsidR="00E975E5">
        <w:rPr>
          <w:rFonts w:ascii="Arial" w:hAnsi="Arial" w:cs="Arial"/>
          <w:iCs/>
          <w:sz w:val="22"/>
          <w:szCs w:val="22"/>
        </w:rPr>
        <w:t>n</w:t>
      </w:r>
      <w:r w:rsidR="001E1177">
        <w:rPr>
          <w:rFonts w:ascii="Arial" w:hAnsi="Arial" w:cs="Arial"/>
          <w:iCs/>
          <w:sz w:val="22"/>
          <w:szCs w:val="22"/>
        </w:rPr>
        <w:t xml:space="preserve">pr. na področju </w:t>
      </w:r>
      <w:r w:rsidR="00E975E5">
        <w:rPr>
          <w:rFonts w:ascii="Arial" w:hAnsi="Arial" w:cs="Arial"/>
          <w:iCs/>
          <w:sz w:val="22"/>
          <w:szCs w:val="22"/>
        </w:rPr>
        <w:t xml:space="preserve">elektronskih </w:t>
      </w:r>
      <w:r w:rsidR="001E1177">
        <w:rPr>
          <w:rFonts w:ascii="Arial" w:hAnsi="Arial" w:cs="Arial"/>
          <w:iCs/>
          <w:sz w:val="22"/>
          <w:szCs w:val="22"/>
        </w:rPr>
        <w:t xml:space="preserve">komunikacij </w:t>
      </w:r>
      <w:r w:rsidR="00E975E5" w:rsidRPr="00E975E5">
        <w:rPr>
          <w:rFonts w:ascii="Arial" w:hAnsi="Arial" w:cs="Arial"/>
          <w:iCs/>
          <w:sz w:val="22"/>
          <w:szCs w:val="22"/>
        </w:rPr>
        <w:t>Zakon o elektronskih komunikacijah (Uradni list RS, št. 130/22 in 18/23 – ZDU-1O)</w:t>
      </w:r>
      <w:r w:rsidR="00E975E5">
        <w:rPr>
          <w:rFonts w:ascii="Arial" w:hAnsi="Arial" w:cs="Arial"/>
          <w:iCs/>
          <w:sz w:val="22"/>
          <w:szCs w:val="22"/>
        </w:rPr>
        <w:t xml:space="preserve"> določa, da je o</w:t>
      </w:r>
      <w:r w:rsidR="00E975E5" w:rsidRPr="00E975E5">
        <w:rPr>
          <w:rFonts w:ascii="Arial" w:hAnsi="Arial" w:cs="Arial"/>
          <w:iCs/>
          <w:sz w:val="22"/>
          <w:szCs w:val="22"/>
        </w:rPr>
        <w:t>bvezna sestavina pogodbe</w:t>
      </w:r>
      <w:r w:rsidR="00E975E5">
        <w:rPr>
          <w:rFonts w:ascii="Arial" w:hAnsi="Arial" w:cs="Arial"/>
          <w:iCs/>
          <w:sz w:val="22"/>
          <w:szCs w:val="22"/>
        </w:rPr>
        <w:t>, ki jo operater predloži lastniku nepremičnine</w:t>
      </w:r>
      <w:r w:rsidR="00E975E5" w:rsidRPr="00E975E5">
        <w:rPr>
          <w:rFonts w:ascii="Arial" w:hAnsi="Arial" w:cs="Arial"/>
          <w:iCs/>
          <w:sz w:val="22"/>
          <w:szCs w:val="22"/>
        </w:rPr>
        <w:t xml:space="preserve"> določilo o višini denarnega nadomestila za služnost, v primerih, ki se nanašajo na omejitev lastninske ali druge stvarne pravice na nepremičninah pri gradnji, postavitvi, obratovanju ali vzdrževanju javnih komunikacijskih omrežij in pripadajoče infrastrukture</w:t>
      </w:r>
      <w:r w:rsidR="0034798A">
        <w:rPr>
          <w:rFonts w:ascii="Arial" w:hAnsi="Arial" w:cs="Arial"/>
          <w:iCs/>
          <w:sz w:val="22"/>
          <w:szCs w:val="22"/>
        </w:rPr>
        <w:t>.</w:t>
      </w:r>
      <w:r w:rsidR="00A14978">
        <w:rPr>
          <w:rFonts w:ascii="Arial" w:hAnsi="Arial" w:cs="Arial"/>
          <w:iCs/>
          <w:sz w:val="22"/>
          <w:szCs w:val="22"/>
        </w:rPr>
        <w:t xml:space="preserve"> </w:t>
      </w:r>
      <w:r w:rsidR="004747E4">
        <w:rPr>
          <w:rFonts w:ascii="Arial" w:hAnsi="Arial" w:cs="Arial"/>
          <w:iCs/>
          <w:sz w:val="22"/>
          <w:szCs w:val="22"/>
        </w:rPr>
        <w:t>Z</w:t>
      </w:r>
      <w:r w:rsidR="0034798A">
        <w:rPr>
          <w:rFonts w:ascii="Arial" w:hAnsi="Arial" w:cs="Arial"/>
          <w:iCs/>
          <w:sz w:val="22"/>
          <w:szCs w:val="22"/>
        </w:rPr>
        <w:t xml:space="preserve">akonito brezplačno služnost </w:t>
      </w:r>
      <w:r w:rsidR="004747E4">
        <w:rPr>
          <w:rFonts w:ascii="Arial" w:hAnsi="Arial" w:cs="Arial"/>
          <w:iCs/>
          <w:sz w:val="22"/>
          <w:szCs w:val="22"/>
        </w:rPr>
        <w:t xml:space="preserve">pa </w:t>
      </w:r>
      <w:r w:rsidR="0034798A">
        <w:rPr>
          <w:rFonts w:ascii="Arial" w:hAnsi="Arial" w:cs="Arial"/>
          <w:iCs/>
          <w:sz w:val="22"/>
          <w:szCs w:val="22"/>
        </w:rPr>
        <w:t xml:space="preserve">določa 474. člen </w:t>
      </w:r>
      <w:r w:rsidR="00EA5E55" w:rsidRPr="00EA5E55">
        <w:rPr>
          <w:rFonts w:ascii="Arial" w:hAnsi="Arial" w:cs="Arial"/>
          <w:iCs/>
          <w:sz w:val="22"/>
          <w:szCs w:val="22"/>
        </w:rPr>
        <w:t>Energetski zakon (Uradni list RS, št. 60/19 – uradno prečiščeno besedilo, 65/20, 158/20 – ZURE, 121/21 – ZSROVE, 172/21 – ZOEE, 204/21 – ZOP in 44/22 – ZOTDS)</w:t>
      </w:r>
      <w:r w:rsidR="00EA5E55">
        <w:rPr>
          <w:rFonts w:ascii="Arial" w:hAnsi="Arial" w:cs="Arial"/>
          <w:iCs/>
          <w:sz w:val="22"/>
          <w:szCs w:val="22"/>
        </w:rPr>
        <w:t>.</w:t>
      </w:r>
    </w:p>
    <w:p w14:paraId="291C7C31" w14:textId="77777777" w:rsidR="00D51AF3" w:rsidRPr="001E1177" w:rsidRDefault="00D51AF3" w:rsidP="009B0C53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2B817C3" w14:textId="77777777" w:rsidR="009B0C53" w:rsidRPr="001E1177" w:rsidRDefault="009B0C53" w:rsidP="009B0C53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E1177">
        <w:rPr>
          <w:rFonts w:ascii="Arial" w:hAnsi="Arial" w:cs="Arial"/>
          <w:i/>
          <w:sz w:val="22"/>
          <w:szCs w:val="22"/>
          <w:u w:val="single"/>
        </w:rPr>
        <w:t>RAZLOGI ZA SPREJETJE:</w:t>
      </w:r>
    </w:p>
    <w:p w14:paraId="19C37EDD" w14:textId="69C416CE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22ABD04D" w14:textId="2DD8B767" w:rsidR="00BA44AF" w:rsidRPr="001E1177" w:rsidRDefault="00BA44AF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Gre za posodobitev in uskladitev načina določitve odškodnine za ustanovitev služnostne pravice na nepremičninah, ki so v lasti občine.</w:t>
      </w:r>
    </w:p>
    <w:p w14:paraId="240B18CE" w14:textId="7103271F" w:rsidR="00BA44AF" w:rsidRPr="004747E4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 xml:space="preserve"> </w:t>
      </w:r>
    </w:p>
    <w:p w14:paraId="5A896C4B" w14:textId="403DF5CA" w:rsidR="009B0C53" w:rsidRPr="001E1177" w:rsidRDefault="009B0C53" w:rsidP="009B0C53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E1177">
        <w:rPr>
          <w:rFonts w:ascii="Arial" w:hAnsi="Arial" w:cs="Arial"/>
          <w:i/>
          <w:sz w:val="22"/>
          <w:szCs w:val="22"/>
          <w:u w:val="single"/>
        </w:rPr>
        <w:t>OCENA STANJA:</w:t>
      </w:r>
    </w:p>
    <w:p w14:paraId="4BAE2E98" w14:textId="6DEF73DB" w:rsidR="00BA44AF" w:rsidRPr="001E1177" w:rsidRDefault="00BA44AF" w:rsidP="009B0C53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63C9B16" w14:textId="1789086D" w:rsidR="00BA44AF" w:rsidRPr="001E1177" w:rsidRDefault="00BA44AF" w:rsidP="009B0C53">
      <w:pPr>
        <w:jc w:val="both"/>
        <w:rPr>
          <w:rFonts w:ascii="Arial" w:hAnsi="Arial" w:cs="Arial"/>
          <w:iCs/>
          <w:sz w:val="22"/>
          <w:szCs w:val="22"/>
        </w:rPr>
      </w:pPr>
      <w:r w:rsidRPr="001E1177">
        <w:rPr>
          <w:rFonts w:ascii="Arial" w:hAnsi="Arial" w:cs="Arial"/>
          <w:iCs/>
          <w:sz w:val="22"/>
          <w:szCs w:val="22"/>
        </w:rPr>
        <w:t>Veljavni Sklep o določitvi odškodnine zaradi omejitve lastninske pravice na zemljiščih, na katerih se ustanavlja služnostna pravica iz leta 2007</w:t>
      </w:r>
      <w:r w:rsidR="00E93C86">
        <w:rPr>
          <w:rFonts w:ascii="Arial" w:hAnsi="Arial" w:cs="Arial"/>
          <w:iCs/>
          <w:sz w:val="22"/>
          <w:szCs w:val="22"/>
        </w:rPr>
        <w:t>,</w:t>
      </w:r>
      <w:r w:rsidRPr="001E1177">
        <w:rPr>
          <w:rFonts w:ascii="Arial" w:hAnsi="Arial" w:cs="Arial"/>
          <w:iCs/>
          <w:sz w:val="22"/>
          <w:szCs w:val="22"/>
        </w:rPr>
        <w:t xml:space="preserve"> </w:t>
      </w:r>
      <w:r w:rsidR="00B245E7">
        <w:rPr>
          <w:rFonts w:ascii="Arial" w:hAnsi="Arial" w:cs="Arial"/>
          <w:iCs/>
          <w:sz w:val="22"/>
          <w:szCs w:val="22"/>
        </w:rPr>
        <w:t>je</w:t>
      </w:r>
      <w:r w:rsidR="002C3CD9">
        <w:rPr>
          <w:rFonts w:ascii="Arial" w:hAnsi="Arial" w:cs="Arial"/>
          <w:iCs/>
          <w:sz w:val="22"/>
          <w:szCs w:val="22"/>
        </w:rPr>
        <w:t xml:space="preserve"> potrebno prenoviti in sprejeti novega zaradi </w:t>
      </w:r>
      <w:r w:rsidR="00A21F0F">
        <w:rPr>
          <w:rFonts w:ascii="Arial" w:hAnsi="Arial" w:cs="Arial"/>
          <w:iCs/>
          <w:sz w:val="22"/>
          <w:szCs w:val="22"/>
        </w:rPr>
        <w:t>drugačnih cen določenih za obremenitev nepremičnin.</w:t>
      </w:r>
      <w:r w:rsidR="00412F3F">
        <w:rPr>
          <w:rFonts w:ascii="Arial" w:hAnsi="Arial" w:cs="Arial"/>
          <w:iCs/>
          <w:sz w:val="22"/>
          <w:szCs w:val="22"/>
        </w:rPr>
        <w:t xml:space="preserve"> </w:t>
      </w:r>
    </w:p>
    <w:p w14:paraId="3C04EF7E" w14:textId="311DC097" w:rsidR="009B0C53" w:rsidRPr="001E1177" w:rsidRDefault="009B0C53" w:rsidP="009B0C53">
      <w:pPr>
        <w:jc w:val="both"/>
        <w:rPr>
          <w:rFonts w:ascii="Arial" w:eastAsia="Times New Roman" w:hAnsi="Arial" w:cs="Arial"/>
          <w:sz w:val="22"/>
          <w:szCs w:val="22"/>
          <w:lang w:eastAsia="sl-SI"/>
        </w:rPr>
      </w:pPr>
    </w:p>
    <w:p w14:paraId="3E86C850" w14:textId="77777777" w:rsidR="009B0C53" w:rsidRPr="001E1177" w:rsidRDefault="009B0C53" w:rsidP="009B0C53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E1177">
        <w:rPr>
          <w:rFonts w:ascii="Arial" w:hAnsi="Arial" w:cs="Arial"/>
          <w:i/>
          <w:sz w:val="22"/>
          <w:szCs w:val="22"/>
          <w:u w:val="single"/>
        </w:rPr>
        <w:t>CILJI IN NAČELA:</w:t>
      </w:r>
    </w:p>
    <w:p w14:paraId="6CA48178" w14:textId="68DB1445" w:rsidR="009B0C53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37A57B80" w14:textId="0694B4FA" w:rsidR="001E1177" w:rsidRDefault="001E1177" w:rsidP="009B0C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predlaganim sklepom se zasledujte dve načeli, in sicer:</w:t>
      </w:r>
    </w:p>
    <w:p w14:paraId="11EF9FC2" w14:textId="2784AB12" w:rsidR="001E1177" w:rsidRDefault="001E1177" w:rsidP="001E1177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načelo gospodarnosti, ki določa, da s</w:t>
      </w:r>
      <w:r w:rsidRPr="001E1177">
        <w:rPr>
          <w:rFonts w:ascii="Arial" w:hAnsi="Arial" w:cs="Arial"/>
          <w:sz w:val="22"/>
          <w:szCs w:val="22"/>
        </w:rPr>
        <w:t>tvarno premoženje, ki ga noben upravljavec trajno ne potrebuje za opravljanje svojih nalog, se bodisi proda bodisi z oddajo v najem ali na drug ustrezen način zagotovi njegova učinkovita raba</w:t>
      </w:r>
      <w:r>
        <w:rPr>
          <w:rFonts w:ascii="Arial" w:hAnsi="Arial" w:cs="Arial"/>
          <w:sz w:val="22"/>
          <w:szCs w:val="22"/>
        </w:rPr>
        <w:t>;</w:t>
      </w:r>
    </w:p>
    <w:p w14:paraId="27A3A250" w14:textId="5BE5730F" w:rsidR="001E1177" w:rsidRDefault="001E1177" w:rsidP="001E1177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načelo odplačnosti, ki</w:t>
      </w:r>
      <w:r w:rsidRPr="001E1177">
        <w:t xml:space="preserve"> </w:t>
      </w:r>
      <w:r>
        <w:t xml:space="preserve">določa, </w:t>
      </w:r>
      <w:r>
        <w:rPr>
          <w:rFonts w:ascii="Arial" w:hAnsi="Arial" w:cs="Arial"/>
          <w:sz w:val="22"/>
          <w:szCs w:val="22"/>
        </w:rPr>
        <w:t>da s</w:t>
      </w:r>
      <w:r w:rsidRPr="001E1177">
        <w:rPr>
          <w:rFonts w:ascii="Arial" w:hAnsi="Arial" w:cs="Arial"/>
          <w:sz w:val="22"/>
          <w:szCs w:val="22"/>
        </w:rPr>
        <w:t>tvarno premoženje se lahko odsvoji ali se z njim upravlja odplačno, če zakon ne določa drugače</w:t>
      </w:r>
      <w:r>
        <w:rPr>
          <w:rFonts w:ascii="Arial" w:hAnsi="Arial" w:cs="Arial"/>
          <w:sz w:val="22"/>
          <w:szCs w:val="22"/>
        </w:rPr>
        <w:t>.</w:t>
      </w:r>
    </w:p>
    <w:p w14:paraId="0C7BE96F" w14:textId="77777777" w:rsidR="001E1177" w:rsidRPr="001E1177" w:rsidRDefault="001E1177" w:rsidP="001E1177">
      <w:pPr>
        <w:pStyle w:val="Odstavekseznama"/>
        <w:ind w:left="720"/>
        <w:jc w:val="both"/>
        <w:rPr>
          <w:rFonts w:ascii="Arial" w:hAnsi="Arial" w:cs="Arial"/>
          <w:sz w:val="22"/>
          <w:szCs w:val="22"/>
        </w:rPr>
      </w:pPr>
    </w:p>
    <w:p w14:paraId="7E07C071" w14:textId="77777777" w:rsidR="009B0C53" w:rsidRPr="001E1177" w:rsidRDefault="009B0C53" w:rsidP="009B0C53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E1177">
        <w:rPr>
          <w:rFonts w:ascii="Arial" w:hAnsi="Arial" w:cs="Arial"/>
          <w:i/>
          <w:sz w:val="22"/>
          <w:szCs w:val="22"/>
          <w:u w:val="single"/>
        </w:rPr>
        <w:t>FINANČNE IN DRUGE POSLEDICE:</w:t>
      </w:r>
    </w:p>
    <w:p w14:paraId="0A6EA5F7" w14:textId="14B71C2D" w:rsidR="009B0C53" w:rsidRPr="001E1177" w:rsidRDefault="001E1177" w:rsidP="009B0C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 plačilu služnostne pravice gre za vplačilo v občinski proračun.</w:t>
      </w:r>
    </w:p>
    <w:p w14:paraId="5A85B956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5724009E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Pripravila:</w:t>
      </w:r>
    </w:p>
    <w:p w14:paraId="1B388837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Špela Glušič</w:t>
      </w:r>
    </w:p>
    <w:p w14:paraId="62CE5F26" w14:textId="3422D40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Podsekretar</w:t>
      </w:r>
    </w:p>
    <w:p w14:paraId="22252559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06169A6E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2C2F324C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29A95A43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60F88F35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3A9AE069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629FF528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2D8CF7A5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14052EF0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25E6774B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157B4460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34FADF55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17568C29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6E4BB0EC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68CF3821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70A9477E" w14:textId="5FD1F0C1" w:rsidR="009B0C53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140DF535" w14:textId="7684A49A" w:rsidR="00B16D1E" w:rsidRDefault="00B16D1E" w:rsidP="009B0C53">
      <w:pPr>
        <w:jc w:val="both"/>
        <w:rPr>
          <w:rFonts w:ascii="Arial" w:hAnsi="Arial" w:cs="Arial"/>
          <w:sz w:val="22"/>
          <w:szCs w:val="22"/>
        </w:rPr>
      </w:pPr>
    </w:p>
    <w:p w14:paraId="59ABAA8B" w14:textId="29BA876A" w:rsidR="00B16D1E" w:rsidRDefault="00B16D1E" w:rsidP="009B0C53">
      <w:pPr>
        <w:jc w:val="both"/>
        <w:rPr>
          <w:rFonts w:ascii="Arial" w:hAnsi="Arial" w:cs="Arial"/>
          <w:sz w:val="22"/>
          <w:szCs w:val="22"/>
        </w:rPr>
      </w:pPr>
    </w:p>
    <w:p w14:paraId="73E9BD14" w14:textId="6907A4B8" w:rsidR="00B16D1E" w:rsidRDefault="00B16D1E" w:rsidP="009B0C53">
      <w:pPr>
        <w:jc w:val="both"/>
        <w:rPr>
          <w:rFonts w:ascii="Arial" w:hAnsi="Arial" w:cs="Arial"/>
          <w:sz w:val="22"/>
          <w:szCs w:val="22"/>
        </w:rPr>
      </w:pPr>
    </w:p>
    <w:p w14:paraId="65471BCE" w14:textId="74029C6D" w:rsidR="00B16D1E" w:rsidRDefault="00B16D1E" w:rsidP="009B0C53">
      <w:pPr>
        <w:jc w:val="both"/>
        <w:rPr>
          <w:rFonts w:ascii="Arial" w:hAnsi="Arial" w:cs="Arial"/>
          <w:sz w:val="22"/>
          <w:szCs w:val="22"/>
        </w:rPr>
      </w:pPr>
    </w:p>
    <w:p w14:paraId="233805B3" w14:textId="77777777" w:rsidR="00B16D1E" w:rsidRPr="001E1177" w:rsidRDefault="00B16D1E" w:rsidP="009B0C53">
      <w:pPr>
        <w:jc w:val="both"/>
        <w:rPr>
          <w:rFonts w:ascii="Arial" w:hAnsi="Arial" w:cs="Arial"/>
          <w:sz w:val="22"/>
          <w:szCs w:val="22"/>
        </w:rPr>
      </w:pPr>
    </w:p>
    <w:p w14:paraId="29289021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142E166F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7DE63F54" w14:textId="77777777" w:rsidR="009B0C53" w:rsidRPr="001E1177" w:rsidRDefault="00E139DB" w:rsidP="009B0C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4B1B68A">
          <v:rect id="_x0000_i1025" style="width:0;height:1.5pt" o:hralign="center" o:hrstd="t" o:hr="t" fillcolor="#aca899" stroked="f"/>
        </w:pict>
      </w:r>
    </w:p>
    <w:p w14:paraId="6122231A" w14:textId="77777777" w:rsidR="009B0C53" w:rsidRPr="001E1177" w:rsidRDefault="009B0C53" w:rsidP="009B0C53">
      <w:pPr>
        <w:jc w:val="both"/>
        <w:rPr>
          <w:rFonts w:ascii="Arial" w:hAnsi="Arial" w:cs="Arial"/>
          <w:bCs/>
          <w:sz w:val="22"/>
          <w:szCs w:val="22"/>
        </w:rPr>
      </w:pPr>
      <w:r w:rsidRPr="001E1177">
        <w:rPr>
          <w:rFonts w:ascii="Arial" w:hAnsi="Arial" w:cs="Arial"/>
          <w:bCs/>
          <w:sz w:val="22"/>
          <w:szCs w:val="22"/>
        </w:rPr>
        <w:t>Za izvrševanje prvega odstavka 70. člena Zakona o stvarnem premoženju države in samoupravnih lokalnih skupnosti (Uradni list RS, št. 11/18 in 79/18) je Občinski svet Občine Renče-Vogrsko na 4. redni seji dne __ sprejel naslednji</w:t>
      </w:r>
    </w:p>
    <w:p w14:paraId="75A98711" w14:textId="77777777" w:rsidR="009B0C53" w:rsidRPr="001E1177" w:rsidRDefault="009B0C53" w:rsidP="009B0C53">
      <w:pPr>
        <w:rPr>
          <w:rFonts w:ascii="Arial" w:hAnsi="Arial" w:cs="Arial"/>
          <w:bCs/>
          <w:sz w:val="22"/>
          <w:szCs w:val="22"/>
        </w:rPr>
      </w:pPr>
    </w:p>
    <w:p w14:paraId="03AF833A" w14:textId="77777777" w:rsidR="009B0C53" w:rsidRPr="001E1177" w:rsidRDefault="009B0C53" w:rsidP="009B0C53">
      <w:pPr>
        <w:jc w:val="center"/>
        <w:rPr>
          <w:rFonts w:ascii="Arial" w:hAnsi="Arial" w:cs="Arial"/>
          <w:b/>
          <w:sz w:val="22"/>
          <w:szCs w:val="22"/>
        </w:rPr>
      </w:pPr>
      <w:r w:rsidRPr="001E1177">
        <w:rPr>
          <w:rFonts w:ascii="Arial" w:hAnsi="Arial" w:cs="Arial"/>
          <w:b/>
          <w:sz w:val="22"/>
          <w:szCs w:val="22"/>
        </w:rPr>
        <w:t xml:space="preserve">SKLEP </w:t>
      </w:r>
    </w:p>
    <w:p w14:paraId="7F49F8D8" w14:textId="77777777" w:rsidR="009B0C53" w:rsidRPr="001E1177" w:rsidRDefault="009B0C53" w:rsidP="009B0C53">
      <w:pPr>
        <w:jc w:val="center"/>
        <w:rPr>
          <w:rFonts w:ascii="Arial" w:hAnsi="Arial" w:cs="Arial"/>
          <w:b/>
          <w:sz w:val="22"/>
          <w:szCs w:val="22"/>
        </w:rPr>
      </w:pPr>
      <w:r w:rsidRPr="001E1177">
        <w:rPr>
          <w:rFonts w:ascii="Arial" w:hAnsi="Arial" w:cs="Arial"/>
          <w:b/>
          <w:sz w:val="22"/>
          <w:szCs w:val="22"/>
        </w:rPr>
        <w:t xml:space="preserve">O </w:t>
      </w:r>
      <w:bookmarkStart w:id="0" w:name="_Hlk128564899"/>
      <w:r w:rsidRPr="001E1177">
        <w:rPr>
          <w:rFonts w:ascii="Arial" w:hAnsi="Arial" w:cs="Arial"/>
          <w:b/>
          <w:sz w:val="22"/>
          <w:szCs w:val="22"/>
        </w:rPr>
        <w:t xml:space="preserve">DOLOČITVI ODŠKODNINE ZA PRIDOBITEV SLUŽNOSTNE PRAVICE </w:t>
      </w:r>
      <w:bookmarkEnd w:id="0"/>
      <w:r w:rsidRPr="001E1177">
        <w:rPr>
          <w:rFonts w:ascii="Arial" w:hAnsi="Arial" w:cs="Arial"/>
          <w:b/>
          <w:sz w:val="22"/>
          <w:szCs w:val="22"/>
        </w:rPr>
        <w:t>NA NEPREMIČNINAH V LASTI OBČINE RENČE- VOGRSKO</w:t>
      </w:r>
    </w:p>
    <w:p w14:paraId="53DC8030" w14:textId="77777777" w:rsidR="009B0C53" w:rsidRPr="001E1177" w:rsidRDefault="009B0C53" w:rsidP="009B0C53">
      <w:pPr>
        <w:jc w:val="center"/>
        <w:rPr>
          <w:rFonts w:ascii="Arial" w:hAnsi="Arial" w:cs="Arial"/>
          <w:b/>
          <w:sz w:val="22"/>
          <w:szCs w:val="22"/>
        </w:rPr>
      </w:pPr>
    </w:p>
    <w:p w14:paraId="4D2E85E2" w14:textId="77777777" w:rsidR="009B0C53" w:rsidRPr="001E1177" w:rsidRDefault="009B0C53" w:rsidP="009B0C53">
      <w:pPr>
        <w:pStyle w:val="len"/>
        <w:numPr>
          <w:ilvl w:val="0"/>
          <w:numId w:val="31"/>
        </w:numPr>
        <w:spacing w:before="0"/>
        <w:ind w:left="425" w:hanging="357"/>
      </w:pPr>
      <w:r w:rsidRPr="001E1177">
        <w:t>člen</w:t>
      </w:r>
    </w:p>
    <w:p w14:paraId="0CD2FDC8" w14:textId="77777777" w:rsidR="009B0C53" w:rsidRPr="001E1177" w:rsidRDefault="009B0C53" w:rsidP="009B0C5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5E8A7F" w14:textId="30BCD66E" w:rsidR="009B0C53" w:rsidRPr="001E1177" w:rsidRDefault="009B0C53" w:rsidP="009B0C5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E1177">
        <w:rPr>
          <w:rFonts w:ascii="Arial" w:hAnsi="Arial" w:cs="Arial"/>
          <w:sz w:val="22"/>
          <w:szCs w:val="22"/>
          <w:shd w:val="clear" w:color="auto" w:fill="FFFFFF"/>
        </w:rPr>
        <w:t xml:space="preserve">Ta sklep določa </w:t>
      </w:r>
      <w:r w:rsidR="00BA44AF" w:rsidRPr="001E1177">
        <w:rPr>
          <w:rFonts w:ascii="Arial" w:hAnsi="Arial" w:cs="Arial"/>
          <w:sz w:val="22"/>
          <w:szCs w:val="22"/>
          <w:shd w:val="clear" w:color="auto" w:fill="FFFFFF"/>
        </w:rPr>
        <w:t xml:space="preserve">način določitve </w:t>
      </w:r>
      <w:r w:rsidRPr="001E1177">
        <w:rPr>
          <w:rFonts w:ascii="Arial" w:hAnsi="Arial" w:cs="Arial"/>
          <w:sz w:val="22"/>
          <w:szCs w:val="22"/>
          <w:shd w:val="clear" w:color="auto" w:fill="FFFFFF"/>
        </w:rPr>
        <w:t>odškodnine za pridobitev služnostne pravice na nepremičninah v lasti Občine Renče-Vogrsko.</w:t>
      </w:r>
    </w:p>
    <w:p w14:paraId="66F3DD63" w14:textId="77777777" w:rsidR="009B0C53" w:rsidRPr="001E1177" w:rsidRDefault="009B0C53" w:rsidP="009B0C53">
      <w:pPr>
        <w:pStyle w:val="len"/>
        <w:numPr>
          <w:ilvl w:val="0"/>
          <w:numId w:val="31"/>
        </w:numPr>
        <w:spacing w:before="0"/>
        <w:ind w:left="425" w:hanging="357"/>
      </w:pPr>
      <w:r w:rsidRPr="001E1177">
        <w:t>člen</w:t>
      </w:r>
    </w:p>
    <w:p w14:paraId="34810219" w14:textId="77777777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</w:p>
    <w:p w14:paraId="543A3878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Območje Občine Renče – Vogrsko se razdeli na tri cone in sicer:</w:t>
      </w:r>
    </w:p>
    <w:p w14:paraId="5895470F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71D3E0C4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 xml:space="preserve">I. CONA: </w:t>
      </w:r>
    </w:p>
    <w:p w14:paraId="6862A2A1" w14:textId="77777777" w:rsidR="009B0C53" w:rsidRPr="001E1177" w:rsidRDefault="009B0C53" w:rsidP="009B0C53">
      <w:pPr>
        <w:pStyle w:val="Odstavekseznama"/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v naselju Renče ulice Renški trg, Tureli, Arčoni in Žigoni;</w:t>
      </w:r>
    </w:p>
    <w:p w14:paraId="2B05FC31" w14:textId="77777777" w:rsidR="009B0C53" w:rsidRPr="001E1177" w:rsidRDefault="009B0C53" w:rsidP="009B0C53">
      <w:pPr>
        <w:pStyle w:val="Odstavekseznama"/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naselja Bukovica, Vogrsko in Volčja Draga.</w:t>
      </w:r>
    </w:p>
    <w:p w14:paraId="1FA8A763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242A54A9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 xml:space="preserve">II. CONA: </w:t>
      </w:r>
    </w:p>
    <w:p w14:paraId="06FEAD1E" w14:textId="77777777" w:rsidR="009B0C53" w:rsidRPr="001E1177" w:rsidRDefault="009B0C53" w:rsidP="009B0C53">
      <w:pPr>
        <w:pStyle w:val="Odstavekseznama"/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v naselju Renče ulice Lukežiči, Mohorini, Martinuči, Merljaki in Podkraj;</w:t>
      </w:r>
    </w:p>
    <w:p w14:paraId="73440394" w14:textId="77777777" w:rsidR="009B0C53" w:rsidRPr="001E1177" w:rsidRDefault="009B0C53" w:rsidP="009B0C53">
      <w:pPr>
        <w:pStyle w:val="Odstavekseznama"/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naselja Dombrava in Oševljek;</w:t>
      </w:r>
    </w:p>
    <w:p w14:paraId="134A4100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22AC56C6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III. CONA:</w:t>
      </w:r>
    </w:p>
    <w:p w14:paraId="48899F21" w14:textId="77777777" w:rsidR="009B0C53" w:rsidRPr="001E1177" w:rsidRDefault="009B0C53" w:rsidP="009B0C53">
      <w:pPr>
        <w:pStyle w:val="Odstavekseznama"/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 xml:space="preserve"> v naselju Renče ulica Vinišče</w:t>
      </w:r>
    </w:p>
    <w:p w14:paraId="62AA8D7A" w14:textId="77777777" w:rsidR="009B0C53" w:rsidRPr="001E1177" w:rsidRDefault="009B0C53" w:rsidP="009B0C53">
      <w:pPr>
        <w:pStyle w:val="Odstavekseznama"/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 xml:space="preserve"> ostala območja.</w:t>
      </w:r>
    </w:p>
    <w:p w14:paraId="44026F04" w14:textId="77777777" w:rsidR="009B0C53" w:rsidRPr="001E1177" w:rsidRDefault="009B0C53" w:rsidP="009B0C53">
      <w:pPr>
        <w:pStyle w:val="len"/>
        <w:numPr>
          <w:ilvl w:val="0"/>
          <w:numId w:val="31"/>
        </w:numPr>
        <w:spacing w:before="0"/>
        <w:ind w:left="425" w:hanging="357"/>
      </w:pPr>
      <w:r w:rsidRPr="001E1177">
        <w:t>člen</w:t>
      </w:r>
    </w:p>
    <w:p w14:paraId="2C69C34C" w14:textId="77777777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</w:p>
    <w:p w14:paraId="70760217" w14:textId="39461288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Posamezne vrednosti zemljišč (v nadaljevanju: Vz) po conah</w:t>
      </w:r>
      <w:r w:rsidR="007C2458">
        <w:rPr>
          <w:rFonts w:ascii="Arial" w:hAnsi="Arial" w:cs="Arial"/>
          <w:sz w:val="22"/>
          <w:szCs w:val="22"/>
        </w:rPr>
        <w:t xml:space="preserve"> </w:t>
      </w:r>
      <w:r w:rsidR="00E45113">
        <w:rPr>
          <w:rFonts w:ascii="Arial" w:hAnsi="Arial" w:cs="Arial"/>
          <w:sz w:val="22"/>
          <w:szCs w:val="22"/>
        </w:rPr>
        <w:t xml:space="preserve">se določijo </w:t>
      </w:r>
      <w:r w:rsidR="000A1F54">
        <w:rPr>
          <w:rFonts w:ascii="Arial" w:hAnsi="Arial" w:cs="Arial"/>
          <w:sz w:val="22"/>
          <w:szCs w:val="22"/>
        </w:rPr>
        <w:t xml:space="preserve">v skladu z naslednjimi </w:t>
      </w:r>
      <w:r w:rsidR="00470BDC">
        <w:rPr>
          <w:rFonts w:ascii="Arial" w:hAnsi="Arial" w:cs="Arial"/>
          <w:sz w:val="22"/>
          <w:szCs w:val="22"/>
        </w:rPr>
        <w:t>vrednostmi:</w:t>
      </w:r>
    </w:p>
    <w:p w14:paraId="7A3B1121" w14:textId="77777777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1701"/>
        <w:gridCol w:w="1733"/>
      </w:tblGrid>
      <w:tr w:rsidR="009B0C53" w:rsidRPr="001E1177" w14:paraId="2175F41B" w14:textId="77777777" w:rsidTr="009562AB">
        <w:tc>
          <w:tcPr>
            <w:tcW w:w="1701" w:type="dxa"/>
          </w:tcPr>
          <w:p w14:paraId="470D2B07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1177">
              <w:rPr>
                <w:rFonts w:ascii="Arial" w:hAnsi="Arial" w:cs="Arial"/>
                <w:b/>
                <w:sz w:val="22"/>
                <w:szCs w:val="22"/>
              </w:rPr>
              <w:t>CONE</w:t>
            </w:r>
          </w:p>
        </w:tc>
        <w:tc>
          <w:tcPr>
            <w:tcW w:w="1701" w:type="dxa"/>
          </w:tcPr>
          <w:p w14:paraId="5F38981D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1177">
              <w:rPr>
                <w:rFonts w:ascii="Arial" w:hAnsi="Arial" w:cs="Arial"/>
                <w:b/>
                <w:sz w:val="22"/>
                <w:szCs w:val="22"/>
              </w:rPr>
              <w:t>Stavbno zemljišče</w:t>
            </w:r>
          </w:p>
        </w:tc>
        <w:tc>
          <w:tcPr>
            <w:tcW w:w="2268" w:type="dxa"/>
          </w:tcPr>
          <w:p w14:paraId="193071F2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1177">
              <w:rPr>
                <w:rFonts w:ascii="Arial" w:hAnsi="Arial" w:cs="Arial"/>
                <w:b/>
                <w:sz w:val="22"/>
                <w:szCs w:val="22"/>
              </w:rPr>
              <w:t>Javne ceste, javne poti, pločniki, parkirišča, zelenice</w:t>
            </w:r>
          </w:p>
        </w:tc>
        <w:tc>
          <w:tcPr>
            <w:tcW w:w="1701" w:type="dxa"/>
          </w:tcPr>
          <w:p w14:paraId="7290097B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1177">
              <w:rPr>
                <w:rFonts w:ascii="Arial" w:hAnsi="Arial" w:cs="Arial"/>
                <w:b/>
                <w:sz w:val="22"/>
                <w:szCs w:val="22"/>
              </w:rPr>
              <w:t>Kmetijsko zemljišče</w:t>
            </w:r>
          </w:p>
        </w:tc>
        <w:tc>
          <w:tcPr>
            <w:tcW w:w="1733" w:type="dxa"/>
          </w:tcPr>
          <w:p w14:paraId="1AC8B935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1177">
              <w:rPr>
                <w:rFonts w:ascii="Arial" w:hAnsi="Arial" w:cs="Arial"/>
                <w:b/>
                <w:sz w:val="22"/>
                <w:szCs w:val="22"/>
              </w:rPr>
              <w:t>Gozdno zemljišče</w:t>
            </w:r>
          </w:p>
        </w:tc>
      </w:tr>
      <w:tr w:rsidR="009B0C53" w:rsidRPr="001E1177" w14:paraId="57722936" w14:textId="77777777" w:rsidTr="009562AB">
        <w:tc>
          <w:tcPr>
            <w:tcW w:w="9104" w:type="dxa"/>
            <w:gridSpan w:val="5"/>
          </w:tcPr>
          <w:p w14:paraId="45227F15" w14:textId="77777777" w:rsidR="009B0C53" w:rsidRPr="001E1177" w:rsidRDefault="009B0C53" w:rsidP="009562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C53" w:rsidRPr="001E1177" w14:paraId="3F9D73DE" w14:textId="77777777" w:rsidTr="009562AB">
        <w:tc>
          <w:tcPr>
            <w:tcW w:w="1701" w:type="dxa"/>
          </w:tcPr>
          <w:p w14:paraId="51A3DBA0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I. CONA</w:t>
            </w:r>
          </w:p>
        </w:tc>
        <w:tc>
          <w:tcPr>
            <w:tcW w:w="1701" w:type="dxa"/>
          </w:tcPr>
          <w:p w14:paraId="162D6F41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45,00 €/m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6811DA31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22,50 €/m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0FEC71E1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4,00 €/m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3" w:type="dxa"/>
          </w:tcPr>
          <w:p w14:paraId="7CD983AD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1,00 €/m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9B0C53" w:rsidRPr="001E1177" w14:paraId="43249F0F" w14:textId="77777777" w:rsidTr="009562AB">
        <w:tc>
          <w:tcPr>
            <w:tcW w:w="1701" w:type="dxa"/>
          </w:tcPr>
          <w:p w14:paraId="1672D468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II. CONA</w:t>
            </w:r>
          </w:p>
        </w:tc>
        <w:tc>
          <w:tcPr>
            <w:tcW w:w="1701" w:type="dxa"/>
          </w:tcPr>
          <w:p w14:paraId="4E4B5B91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35,00 €/m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3C04B5F3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17,50 €/m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1BC4F0D0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3,00 €/m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3" w:type="dxa"/>
          </w:tcPr>
          <w:p w14:paraId="6D57249D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0,75 €/m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9B0C53" w:rsidRPr="001E1177" w14:paraId="57C02F4C" w14:textId="77777777" w:rsidTr="009562AB">
        <w:tc>
          <w:tcPr>
            <w:tcW w:w="1701" w:type="dxa"/>
          </w:tcPr>
          <w:p w14:paraId="6EF6DE62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III. CONA</w:t>
            </w:r>
          </w:p>
        </w:tc>
        <w:tc>
          <w:tcPr>
            <w:tcW w:w="1701" w:type="dxa"/>
          </w:tcPr>
          <w:p w14:paraId="0FBE50F0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20,00 €/m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1333BA11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10,00 €/m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4275DE77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2,50 €/m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3" w:type="dxa"/>
          </w:tcPr>
          <w:p w14:paraId="3EE44F3A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0,55 €/m</w:t>
            </w:r>
            <w:r w:rsidRPr="001E117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02E35E8A" w14:textId="77777777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 xml:space="preserve">  </w:t>
      </w:r>
    </w:p>
    <w:p w14:paraId="67AE8522" w14:textId="77777777" w:rsidR="009B0C53" w:rsidRPr="001E1177" w:rsidRDefault="009B0C53" w:rsidP="009B0C53">
      <w:pPr>
        <w:pStyle w:val="len"/>
        <w:numPr>
          <w:ilvl w:val="0"/>
          <w:numId w:val="31"/>
        </w:numPr>
        <w:spacing w:before="0"/>
        <w:ind w:left="425" w:hanging="357"/>
        <w:rPr>
          <w:bCs/>
        </w:rPr>
      </w:pPr>
      <w:r w:rsidRPr="001E1177">
        <w:rPr>
          <w:bCs/>
        </w:rPr>
        <w:t>člen</w:t>
      </w:r>
    </w:p>
    <w:p w14:paraId="2D36619E" w14:textId="77777777" w:rsidR="009B0C53" w:rsidRPr="001E1177" w:rsidRDefault="009B0C53" w:rsidP="009B0C53">
      <w:pPr>
        <w:pStyle w:val="len"/>
        <w:spacing w:before="0"/>
        <w:ind w:left="68" w:firstLine="0"/>
        <w:jc w:val="left"/>
        <w:rPr>
          <w:bCs/>
        </w:rPr>
      </w:pPr>
    </w:p>
    <w:p w14:paraId="1A4BA2F9" w14:textId="77777777" w:rsidR="009B0C53" w:rsidRPr="001E1177" w:rsidRDefault="009B0C53" w:rsidP="009B0C53">
      <w:pPr>
        <w:pStyle w:val="len"/>
        <w:spacing w:before="0"/>
        <w:ind w:left="68" w:firstLine="0"/>
        <w:jc w:val="left"/>
        <w:rPr>
          <w:b w:val="0"/>
        </w:rPr>
      </w:pPr>
      <w:r w:rsidRPr="001E1177">
        <w:rPr>
          <w:b w:val="0"/>
        </w:rPr>
        <w:t>Posamezne vrste služnosti se določijo z naslednjimi faktorji obremenitve (v nadaljevanju: Fo):</w:t>
      </w:r>
    </w:p>
    <w:p w14:paraId="62B7E340" w14:textId="77777777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2552"/>
      </w:tblGrid>
      <w:tr w:rsidR="009B0C53" w:rsidRPr="001E1177" w14:paraId="26B76318" w14:textId="77777777" w:rsidTr="009562AB">
        <w:tc>
          <w:tcPr>
            <w:tcW w:w="5670" w:type="dxa"/>
          </w:tcPr>
          <w:p w14:paraId="43960250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1177">
              <w:rPr>
                <w:rFonts w:ascii="Arial" w:hAnsi="Arial" w:cs="Arial"/>
                <w:b/>
                <w:sz w:val="22"/>
                <w:szCs w:val="22"/>
              </w:rPr>
              <w:t>Vrsta služnosti</w:t>
            </w:r>
          </w:p>
        </w:tc>
        <w:tc>
          <w:tcPr>
            <w:tcW w:w="2552" w:type="dxa"/>
          </w:tcPr>
          <w:p w14:paraId="6CE39EC3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1177">
              <w:rPr>
                <w:rFonts w:ascii="Arial" w:hAnsi="Arial" w:cs="Arial"/>
                <w:b/>
                <w:sz w:val="22"/>
                <w:szCs w:val="22"/>
              </w:rPr>
              <w:t>Faktor obremenitve</w:t>
            </w:r>
          </w:p>
          <w:p w14:paraId="734E87A9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1177">
              <w:rPr>
                <w:rFonts w:ascii="Arial" w:hAnsi="Arial" w:cs="Arial"/>
                <w:b/>
                <w:sz w:val="22"/>
                <w:szCs w:val="22"/>
              </w:rPr>
              <w:t>Fo</w:t>
            </w:r>
          </w:p>
        </w:tc>
      </w:tr>
      <w:tr w:rsidR="009B0C53" w:rsidRPr="001E1177" w14:paraId="064F7951" w14:textId="77777777" w:rsidTr="009562AB">
        <w:tc>
          <w:tcPr>
            <w:tcW w:w="8222" w:type="dxa"/>
            <w:gridSpan w:val="2"/>
          </w:tcPr>
          <w:p w14:paraId="64615D91" w14:textId="77777777" w:rsidR="009B0C53" w:rsidRPr="001E1177" w:rsidRDefault="009B0C53" w:rsidP="009562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C53" w:rsidRPr="001E1177" w14:paraId="022D6A69" w14:textId="77777777" w:rsidTr="009562AB">
        <w:tc>
          <w:tcPr>
            <w:tcW w:w="5670" w:type="dxa"/>
          </w:tcPr>
          <w:p w14:paraId="31EDD2A5" w14:textId="77777777" w:rsidR="009B0C53" w:rsidRPr="001E1177" w:rsidRDefault="009B0C53" w:rsidP="009562AB">
            <w:pPr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- podzemna služnost</w:t>
            </w:r>
          </w:p>
        </w:tc>
        <w:tc>
          <w:tcPr>
            <w:tcW w:w="2552" w:type="dxa"/>
          </w:tcPr>
          <w:p w14:paraId="0BB6E2F4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0,30</w:t>
            </w:r>
          </w:p>
        </w:tc>
      </w:tr>
      <w:tr w:rsidR="009B0C53" w:rsidRPr="001E1177" w14:paraId="6A34FA71" w14:textId="77777777" w:rsidTr="009562AB">
        <w:tc>
          <w:tcPr>
            <w:tcW w:w="5670" w:type="dxa"/>
          </w:tcPr>
          <w:p w14:paraId="2357E15D" w14:textId="77777777" w:rsidR="009B0C53" w:rsidRPr="001E1177" w:rsidRDefault="009B0C53" w:rsidP="009562AB">
            <w:pPr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- nadzemna služnost – TK, NN, ..</w:t>
            </w:r>
          </w:p>
        </w:tc>
        <w:tc>
          <w:tcPr>
            <w:tcW w:w="2552" w:type="dxa"/>
          </w:tcPr>
          <w:p w14:paraId="7D6D6E7F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</w:tr>
      <w:tr w:rsidR="009B0C53" w:rsidRPr="001E1177" w14:paraId="48654AA5" w14:textId="77777777" w:rsidTr="009562AB">
        <w:tc>
          <w:tcPr>
            <w:tcW w:w="5670" w:type="dxa"/>
          </w:tcPr>
          <w:p w14:paraId="0D78A815" w14:textId="551F6848" w:rsidR="009B0C53" w:rsidRPr="001E1177" w:rsidRDefault="009B0C53" w:rsidP="009562AB">
            <w:pPr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- nadzemna služnost – dostopi</w:t>
            </w:r>
            <w:r w:rsidR="00922E93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</w:tcPr>
          <w:p w14:paraId="68D4D7BD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</w:tr>
      <w:tr w:rsidR="009B0C53" w:rsidRPr="001E1177" w14:paraId="5908C9B1" w14:textId="77777777" w:rsidTr="009562AB">
        <w:tc>
          <w:tcPr>
            <w:tcW w:w="5670" w:type="dxa"/>
          </w:tcPr>
          <w:p w14:paraId="70ED85BD" w14:textId="77777777" w:rsidR="009B0C53" w:rsidRPr="001E1177" w:rsidRDefault="009B0C53" w:rsidP="009562AB">
            <w:pPr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- nadzemna služnost – napušči, nadstreški, balkoni, ..</w:t>
            </w:r>
          </w:p>
        </w:tc>
        <w:tc>
          <w:tcPr>
            <w:tcW w:w="2552" w:type="dxa"/>
          </w:tcPr>
          <w:p w14:paraId="63308FC8" w14:textId="77777777" w:rsidR="009B0C53" w:rsidRPr="001E1177" w:rsidRDefault="009B0C53" w:rsidP="00956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177">
              <w:rPr>
                <w:rFonts w:ascii="Arial" w:hAnsi="Arial" w:cs="Arial"/>
                <w:sz w:val="22"/>
                <w:szCs w:val="22"/>
              </w:rPr>
              <w:t>0,20</w:t>
            </w:r>
          </w:p>
        </w:tc>
      </w:tr>
    </w:tbl>
    <w:p w14:paraId="412E6391" w14:textId="77777777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</w:p>
    <w:p w14:paraId="2BAE8A78" w14:textId="3B6BFFB2" w:rsidR="009B0C53" w:rsidRDefault="009B0C53" w:rsidP="009B0C53">
      <w:pPr>
        <w:rPr>
          <w:rFonts w:ascii="Arial" w:hAnsi="Arial" w:cs="Arial"/>
          <w:b/>
          <w:sz w:val="22"/>
          <w:szCs w:val="22"/>
          <w:u w:val="single"/>
        </w:rPr>
      </w:pPr>
    </w:p>
    <w:p w14:paraId="393D314C" w14:textId="7B98FE15" w:rsidR="00470BDC" w:rsidRDefault="00470BDC" w:rsidP="009B0C53">
      <w:pPr>
        <w:rPr>
          <w:rFonts w:ascii="Arial" w:hAnsi="Arial" w:cs="Arial"/>
          <w:b/>
          <w:sz w:val="22"/>
          <w:szCs w:val="22"/>
          <w:u w:val="single"/>
        </w:rPr>
      </w:pPr>
    </w:p>
    <w:p w14:paraId="375864CA" w14:textId="77777777" w:rsidR="00470BDC" w:rsidRPr="001E1177" w:rsidRDefault="00470BDC" w:rsidP="009B0C53">
      <w:pPr>
        <w:rPr>
          <w:rFonts w:ascii="Arial" w:hAnsi="Arial" w:cs="Arial"/>
          <w:b/>
          <w:sz w:val="22"/>
          <w:szCs w:val="22"/>
          <w:u w:val="single"/>
        </w:rPr>
      </w:pPr>
    </w:p>
    <w:p w14:paraId="6202DA6F" w14:textId="77777777" w:rsidR="009B0C53" w:rsidRPr="001E1177" w:rsidRDefault="009B0C53" w:rsidP="009B0C53">
      <w:pPr>
        <w:pStyle w:val="len"/>
        <w:numPr>
          <w:ilvl w:val="0"/>
          <w:numId w:val="31"/>
        </w:numPr>
        <w:spacing w:before="0"/>
        <w:ind w:left="425" w:hanging="357"/>
        <w:rPr>
          <w:bCs/>
        </w:rPr>
      </w:pPr>
      <w:r w:rsidRPr="001E1177">
        <w:rPr>
          <w:bCs/>
        </w:rPr>
        <w:t>člen</w:t>
      </w:r>
    </w:p>
    <w:p w14:paraId="2282C10C" w14:textId="77777777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</w:p>
    <w:p w14:paraId="0D34B258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>Računska površina (v nadaljevanju: Rp) se ugotovi iz vloge za ustanovitev služnostne pravice. Vlogi mora biti priložen izsek iz projektne dokumentacije, v kateri se prikaže poseg na nepremičnino v lasti Občine Renče – Vogrsko in površina posega.</w:t>
      </w:r>
    </w:p>
    <w:p w14:paraId="39AA8A4C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5E886584" w14:textId="77777777" w:rsidR="009B0C53" w:rsidRPr="001E1177" w:rsidRDefault="009B0C53" w:rsidP="009B0C53">
      <w:pPr>
        <w:pStyle w:val="len"/>
        <w:numPr>
          <w:ilvl w:val="0"/>
          <w:numId w:val="31"/>
        </w:numPr>
        <w:spacing w:before="0"/>
        <w:ind w:left="425" w:hanging="357"/>
        <w:rPr>
          <w:b w:val="0"/>
        </w:rPr>
      </w:pPr>
      <w:r w:rsidRPr="001E1177">
        <w:t>člen</w:t>
      </w:r>
    </w:p>
    <w:p w14:paraId="31AB65FA" w14:textId="77777777" w:rsidR="009B0C53" w:rsidRPr="001E1177" w:rsidRDefault="009B0C53" w:rsidP="009B0C53">
      <w:pPr>
        <w:pStyle w:val="len"/>
        <w:spacing w:before="0"/>
        <w:ind w:left="68" w:firstLine="0"/>
        <w:jc w:val="left"/>
        <w:rPr>
          <w:u w:val="single"/>
        </w:rPr>
      </w:pPr>
    </w:p>
    <w:p w14:paraId="1773E650" w14:textId="77777777" w:rsidR="009B0C53" w:rsidRPr="001E1177" w:rsidRDefault="009B0C53" w:rsidP="009B0C53">
      <w:pPr>
        <w:pStyle w:val="len"/>
        <w:spacing w:before="0"/>
        <w:ind w:left="0" w:firstLine="0"/>
        <w:jc w:val="left"/>
        <w:rPr>
          <w:b w:val="0"/>
          <w:bCs/>
        </w:rPr>
      </w:pPr>
      <w:r w:rsidRPr="001E1177">
        <w:rPr>
          <w:b w:val="0"/>
          <w:bCs/>
        </w:rPr>
        <w:t>Višino odškodnine za ustanovitev služnosti (v nadaljevanju</w:t>
      </w:r>
      <w:r w:rsidRPr="001E1177">
        <w:rPr>
          <w:rFonts w:ascii="Segoe UI Emoji" w:eastAsia="Segoe UI Emoji" w:hAnsi="Segoe UI Emoji" w:cs="Segoe UI Emoji"/>
          <w:b w:val="0"/>
          <w:bCs/>
        </w:rPr>
        <w:t xml:space="preserve">: </w:t>
      </w:r>
      <w:r w:rsidRPr="001E1177">
        <w:rPr>
          <w:b w:val="0"/>
          <w:bCs/>
        </w:rPr>
        <w:t>Vodš) se izračuna po naslednji formuli:</w:t>
      </w:r>
    </w:p>
    <w:p w14:paraId="54575145" w14:textId="77777777" w:rsidR="009B0C53" w:rsidRPr="001E1177" w:rsidRDefault="009B0C53" w:rsidP="009B0C53">
      <w:pPr>
        <w:jc w:val="both"/>
        <w:rPr>
          <w:rFonts w:ascii="Arial" w:hAnsi="Arial" w:cs="Arial"/>
          <w:bCs/>
          <w:sz w:val="22"/>
          <w:szCs w:val="22"/>
        </w:rPr>
      </w:pPr>
    </w:p>
    <w:p w14:paraId="34D5A579" w14:textId="77777777" w:rsidR="009B0C53" w:rsidRPr="001E1177" w:rsidRDefault="009B0C53" w:rsidP="009B0C53">
      <w:pPr>
        <w:jc w:val="both"/>
        <w:rPr>
          <w:rFonts w:ascii="Arial" w:hAnsi="Arial" w:cs="Arial"/>
          <w:bCs/>
          <w:sz w:val="22"/>
          <w:szCs w:val="22"/>
        </w:rPr>
      </w:pPr>
      <w:r w:rsidRPr="001E1177">
        <w:rPr>
          <w:rFonts w:ascii="Arial" w:hAnsi="Arial" w:cs="Arial"/>
          <w:bCs/>
          <w:sz w:val="22"/>
          <w:szCs w:val="22"/>
        </w:rPr>
        <w:t>Vodš = Vz x Fo x Rp</w:t>
      </w:r>
    </w:p>
    <w:p w14:paraId="0339F1E5" w14:textId="77777777" w:rsidR="009B0C53" w:rsidRPr="001E1177" w:rsidRDefault="009B0C53" w:rsidP="009B0C53">
      <w:pPr>
        <w:pStyle w:val="len"/>
        <w:numPr>
          <w:ilvl w:val="0"/>
          <w:numId w:val="31"/>
        </w:numPr>
        <w:spacing w:before="0"/>
        <w:ind w:left="425" w:hanging="357"/>
        <w:rPr>
          <w:bCs/>
        </w:rPr>
      </w:pPr>
      <w:r w:rsidRPr="001E1177">
        <w:rPr>
          <w:bCs/>
        </w:rPr>
        <w:t>člen</w:t>
      </w:r>
    </w:p>
    <w:p w14:paraId="610196FC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150A359E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  <w:r w:rsidRPr="001E1177">
        <w:rPr>
          <w:rFonts w:ascii="Arial" w:hAnsi="Arial" w:cs="Arial"/>
          <w:sz w:val="22"/>
          <w:szCs w:val="22"/>
        </w:rPr>
        <w:t xml:space="preserve">V primeri večjih posegov se vrednost odškodnine določi na podlagi cenitve sodnega cenilca, katere plačnik je vlagatelj.                     </w:t>
      </w:r>
    </w:p>
    <w:p w14:paraId="43B7A060" w14:textId="77777777" w:rsidR="009B0C53" w:rsidRPr="001E1177" w:rsidRDefault="009B0C53" w:rsidP="009B0C53">
      <w:pPr>
        <w:pStyle w:val="len"/>
        <w:numPr>
          <w:ilvl w:val="0"/>
          <w:numId w:val="31"/>
        </w:numPr>
        <w:spacing w:before="0"/>
        <w:ind w:left="425" w:hanging="357"/>
        <w:rPr>
          <w:bCs/>
        </w:rPr>
      </w:pPr>
      <w:r w:rsidRPr="001E1177">
        <w:rPr>
          <w:bCs/>
        </w:rPr>
        <w:t>člen</w:t>
      </w:r>
    </w:p>
    <w:p w14:paraId="769062A1" w14:textId="77777777" w:rsidR="009B0C53" w:rsidRPr="001E1177" w:rsidRDefault="009B0C53" w:rsidP="009B0C53">
      <w:pPr>
        <w:jc w:val="both"/>
        <w:rPr>
          <w:rFonts w:ascii="Arial" w:hAnsi="Arial" w:cs="Arial"/>
          <w:sz w:val="22"/>
          <w:szCs w:val="22"/>
        </w:rPr>
      </w:pPr>
    </w:p>
    <w:p w14:paraId="1C24BFF0" w14:textId="77777777" w:rsidR="009B0C53" w:rsidRPr="001E1177" w:rsidRDefault="009B0C53" w:rsidP="009B0C53">
      <w:pPr>
        <w:pStyle w:val="len"/>
        <w:spacing w:before="0"/>
        <w:ind w:left="0" w:firstLine="0"/>
        <w:jc w:val="left"/>
        <w:rPr>
          <w:b w:val="0"/>
        </w:rPr>
      </w:pPr>
      <w:r w:rsidRPr="001E1177">
        <w:rPr>
          <w:b w:val="0"/>
        </w:rPr>
        <w:t>V primeru, da je določitev odškodnine za pridobitev služnostne pravice določena z drugim predpisom, se uporabi drugi predpis.</w:t>
      </w:r>
    </w:p>
    <w:p w14:paraId="48E420FF" w14:textId="77777777" w:rsidR="009B0C53" w:rsidRPr="001E1177" w:rsidRDefault="009B0C53" w:rsidP="009B0C53">
      <w:pPr>
        <w:rPr>
          <w:rFonts w:ascii="Arial" w:hAnsi="Arial" w:cs="Arial"/>
          <w:b/>
          <w:sz w:val="22"/>
          <w:szCs w:val="22"/>
          <w:u w:val="single"/>
        </w:rPr>
      </w:pPr>
    </w:p>
    <w:p w14:paraId="72D2A310" w14:textId="77777777" w:rsidR="009B0C53" w:rsidRPr="001E1177" w:rsidRDefault="009B0C53" w:rsidP="009B0C53">
      <w:pPr>
        <w:pStyle w:val="len"/>
        <w:numPr>
          <w:ilvl w:val="0"/>
          <w:numId w:val="31"/>
        </w:numPr>
        <w:spacing w:before="0"/>
        <w:ind w:left="425" w:hanging="357"/>
        <w:rPr>
          <w:bCs/>
        </w:rPr>
      </w:pPr>
      <w:r w:rsidRPr="001E1177">
        <w:rPr>
          <w:bCs/>
        </w:rPr>
        <w:t>člen</w:t>
      </w:r>
    </w:p>
    <w:p w14:paraId="15C68125" w14:textId="77777777" w:rsidR="009B0C53" w:rsidRPr="001E1177" w:rsidRDefault="009B0C53" w:rsidP="009B0C53">
      <w:pPr>
        <w:pStyle w:val="len"/>
        <w:spacing w:before="0"/>
        <w:ind w:firstLine="0"/>
        <w:jc w:val="left"/>
        <w:rPr>
          <w:bCs/>
        </w:rPr>
      </w:pPr>
    </w:p>
    <w:p w14:paraId="7B55244E" w14:textId="77777777" w:rsidR="009B0C53" w:rsidRPr="001E1177" w:rsidRDefault="009B0C53" w:rsidP="00BA44AF">
      <w:pPr>
        <w:pStyle w:val="len"/>
        <w:spacing w:before="0"/>
        <w:ind w:left="0" w:firstLine="0"/>
        <w:jc w:val="both"/>
        <w:rPr>
          <w:b w:val="0"/>
        </w:rPr>
      </w:pPr>
      <w:r w:rsidRPr="001E1177">
        <w:rPr>
          <w:b w:val="0"/>
        </w:rPr>
        <w:t>Z dnem uveljavitve tega sklepa preneha veljati Sklep o določitvi odškodnine zaradi omejitve lastninske pravice na zemljiščih, na katerih se ustanavlja služnostna pravica (Uradno glasilo Občine Renče – Vogrsko, 11/07).</w:t>
      </w:r>
    </w:p>
    <w:p w14:paraId="0C5EC990" w14:textId="77777777" w:rsidR="009B0C53" w:rsidRPr="001E1177" w:rsidRDefault="009B0C53" w:rsidP="009B0C53">
      <w:pPr>
        <w:pStyle w:val="len"/>
        <w:spacing w:before="0"/>
        <w:ind w:left="0" w:firstLine="0"/>
        <w:jc w:val="left"/>
        <w:rPr>
          <w:b w:val="0"/>
        </w:rPr>
      </w:pPr>
    </w:p>
    <w:p w14:paraId="2B674B4B" w14:textId="77777777" w:rsidR="009B0C53" w:rsidRPr="001E1177" w:rsidRDefault="009B0C53" w:rsidP="009B0C53">
      <w:pPr>
        <w:pStyle w:val="len"/>
        <w:numPr>
          <w:ilvl w:val="0"/>
          <w:numId w:val="31"/>
        </w:numPr>
        <w:spacing w:before="0"/>
        <w:ind w:left="425" w:hanging="357"/>
        <w:rPr>
          <w:bCs/>
        </w:rPr>
      </w:pPr>
      <w:r w:rsidRPr="001E1177">
        <w:rPr>
          <w:bCs/>
        </w:rPr>
        <w:t>člen</w:t>
      </w:r>
    </w:p>
    <w:p w14:paraId="34C035A4" w14:textId="77777777" w:rsidR="009B0C53" w:rsidRPr="001E1177" w:rsidRDefault="009B0C53" w:rsidP="009B0C53">
      <w:pPr>
        <w:pStyle w:val="len"/>
        <w:spacing w:before="0"/>
        <w:rPr>
          <w:b w:val="0"/>
          <w:bCs/>
        </w:rPr>
      </w:pPr>
    </w:p>
    <w:p w14:paraId="4CD6B3A9" w14:textId="77777777" w:rsidR="009B0C53" w:rsidRPr="001E1177" w:rsidRDefault="009B0C53" w:rsidP="009B0C53">
      <w:pPr>
        <w:pStyle w:val="len"/>
        <w:spacing w:before="0"/>
        <w:jc w:val="both"/>
        <w:rPr>
          <w:b w:val="0"/>
          <w:bCs/>
        </w:rPr>
      </w:pPr>
      <w:r w:rsidRPr="001E1177">
        <w:rPr>
          <w:b w:val="0"/>
          <w:bCs/>
        </w:rPr>
        <w:t xml:space="preserve">Ta sklep začne veljati naslednji dan po objavi v Uradnem glasilu Občine Renče Vogrsko. </w:t>
      </w:r>
    </w:p>
    <w:p w14:paraId="63B7477D" w14:textId="77777777" w:rsidR="009B0C53" w:rsidRPr="001E1177" w:rsidRDefault="009B0C53" w:rsidP="009B0C53">
      <w:pPr>
        <w:pStyle w:val="len"/>
        <w:spacing w:before="0"/>
        <w:jc w:val="both"/>
        <w:rPr>
          <w:b w:val="0"/>
          <w:bCs/>
        </w:rPr>
      </w:pPr>
    </w:p>
    <w:p w14:paraId="093E723C" w14:textId="77777777" w:rsidR="009B0C53" w:rsidRPr="001E1177" w:rsidRDefault="009B0C53" w:rsidP="009B0C53">
      <w:pPr>
        <w:pStyle w:val="len"/>
        <w:spacing w:before="0"/>
        <w:jc w:val="both"/>
        <w:rPr>
          <w:b w:val="0"/>
          <w:bCs/>
        </w:rPr>
      </w:pPr>
    </w:p>
    <w:p w14:paraId="3BB129E2" w14:textId="77777777" w:rsidR="009B0C53" w:rsidRPr="001E1177" w:rsidRDefault="009B0C53" w:rsidP="009B0C53">
      <w:pPr>
        <w:pStyle w:val="len"/>
        <w:spacing w:before="0"/>
        <w:jc w:val="both"/>
        <w:rPr>
          <w:b w:val="0"/>
          <w:bCs/>
        </w:rPr>
      </w:pPr>
      <w:r w:rsidRPr="001E1177">
        <w:rPr>
          <w:b w:val="0"/>
          <w:bCs/>
        </w:rPr>
        <w:t>Številka:</w:t>
      </w:r>
    </w:p>
    <w:p w14:paraId="16A0A4E3" w14:textId="77777777" w:rsidR="009B0C53" w:rsidRPr="001E1177" w:rsidRDefault="009B0C53" w:rsidP="009B0C53">
      <w:pPr>
        <w:pStyle w:val="len"/>
        <w:spacing w:before="0"/>
        <w:jc w:val="both"/>
        <w:rPr>
          <w:b w:val="0"/>
          <w:bCs/>
        </w:rPr>
      </w:pPr>
      <w:r w:rsidRPr="001E1177">
        <w:rPr>
          <w:b w:val="0"/>
          <w:bCs/>
        </w:rPr>
        <w:t xml:space="preserve">Datum: </w:t>
      </w:r>
    </w:p>
    <w:p w14:paraId="2BE24D84" w14:textId="77777777" w:rsidR="009B0C53" w:rsidRPr="001E1177" w:rsidRDefault="009B0C53" w:rsidP="009B0C53">
      <w:pPr>
        <w:pStyle w:val="len"/>
        <w:spacing w:before="0"/>
        <w:jc w:val="both"/>
        <w:rPr>
          <w:b w:val="0"/>
          <w:bCs/>
        </w:rPr>
      </w:pPr>
    </w:p>
    <w:p w14:paraId="23C48B82" w14:textId="77777777" w:rsidR="009B0C53" w:rsidRPr="001E1177" w:rsidRDefault="009B0C53" w:rsidP="009B0C53">
      <w:pPr>
        <w:pStyle w:val="len"/>
        <w:spacing w:before="0"/>
        <w:jc w:val="both"/>
        <w:rPr>
          <w:b w:val="0"/>
          <w:bCs/>
        </w:rPr>
      </w:pPr>
    </w:p>
    <w:p w14:paraId="4628C9CD" w14:textId="77777777" w:rsidR="009B0C53" w:rsidRPr="001E1177" w:rsidRDefault="009B0C53" w:rsidP="009B0C53">
      <w:pPr>
        <w:pStyle w:val="len"/>
        <w:spacing w:before="0"/>
        <w:ind w:left="0" w:firstLine="0"/>
        <w:rPr>
          <w:b w:val="0"/>
          <w:bCs/>
        </w:rPr>
      </w:pPr>
      <w:r w:rsidRPr="001E1177">
        <w:rPr>
          <w:b w:val="0"/>
          <w:bCs/>
        </w:rPr>
        <w:t>Tarik Žigon</w:t>
      </w:r>
    </w:p>
    <w:p w14:paraId="25D29391" w14:textId="77777777" w:rsidR="009B0C53" w:rsidRPr="001E1177" w:rsidRDefault="009B0C53" w:rsidP="009B0C53">
      <w:pPr>
        <w:pStyle w:val="len"/>
        <w:spacing w:before="0"/>
        <w:rPr>
          <w:b w:val="0"/>
          <w:bCs/>
        </w:rPr>
      </w:pPr>
      <w:r w:rsidRPr="001E1177">
        <w:rPr>
          <w:b w:val="0"/>
          <w:bCs/>
        </w:rPr>
        <w:t>Župan</w:t>
      </w:r>
    </w:p>
    <w:p w14:paraId="1872490A" w14:textId="77777777" w:rsidR="009B0C53" w:rsidRPr="001E1177" w:rsidRDefault="009B0C53" w:rsidP="009B0C53">
      <w:pPr>
        <w:rPr>
          <w:rFonts w:ascii="Arial" w:hAnsi="Arial" w:cs="Arial"/>
          <w:sz w:val="22"/>
          <w:szCs w:val="22"/>
        </w:rPr>
      </w:pPr>
    </w:p>
    <w:sectPr w:rsidR="009B0C53" w:rsidRPr="001E1177" w:rsidSect="00D03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8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1DAA" w14:textId="77777777" w:rsidR="009B0C53" w:rsidRDefault="009B0C53" w:rsidP="009B0C53">
      <w:r>
        <w:separator/>
      </w:r>
    </w:p>
  </w:endnote>
  <w:endnote w:type="continuationSeparator" w:id="0">
    <w:p w14:paraId="4A38AE17" w14:textId="77777777" w:rsidR="009B0C53" w:rsidRDefault="009B0C53" w:rsidP="009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5DB6" w14:textId="77777777" w:rsidR="00832097" w:rsidRDefault="00A21F0F" w:rsidP="00E74F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5ACF94A" w14:textId="77777777" w:rsidR="00832097" w:rsidRDefault="00E139DB" w:rsidP="0083209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6246" w14:textId="77777777" w:rsidR="00832097" w:rsidRDefault="00A21F0F" w:rsidP="00E74F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10</w:t>
    </w:r>
    <w:r>
      <w:rPr>
        <w:rStyle w:val="tevilkastrani"/>
      </w:rPr>
      <w:fldChar w:fldCharType="end"/>
    </w:r>
  </w:p>
  <w:p w14:paraId="03BEE67C" w14:textId="77777777" w:rsidR="00832097" w:rsidRPr="008C41C3" w:rsidRDefault="00E139DB" w:rsidP="00832097">
    <w:pPr>
      <w:pStyle w:val="Noga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6697" w14:textId="77777777" w:rsidR="00E139DB" w:rsidRDefault="00E139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1186" w14:textId="77777777" w:rsidR="009B0C53" w:rsidRDefault="009B0C53" w:rsidP="009B0C53">
      <w:r>
        <w:separator/>
      </w:r>
    </w:p>
  </w:footnote>
  <w:footnote w:type="continuationSeparator" w:id="0">
    <w:p w14:paraId="1B2C4941" w14:textId="77777777" w:rsidR="009B0C53" w:rsidRDefault="009B0C53" w:rsidP="009B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4018" w14:textId="77777777" w:rsidR="00E139DB" w:rsidRDefault="00E139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059C" w14:textId="3D271421" w:rsidR="00832097" w:rsidRPr="009D2CAD" w:rsidRDefault="009B0C53" w:rsidP="00832097">
    <w:pPr>
      <w:pStyle w:val="Glava"/>
      <w:rPr>
        <w:rFonts w:ascii="Arial" w:hAnsi="Arial" w:cs="Arial"/>
        <w:color w:val="999999"/>
        <w:sz w:val="40"/>
        <w:szCs w:val="40"/>
      </w:rPr>
    </w:pPr>
    <w:r>
      <w:rPr>
        <w:rFonts w:ascii="Arial" w:hAnsi="Arial" w:cs="Arial"/>
        <w:color w:val="999999"/>
        <w:sz w:val="40"/>
        <w:szCs w:val="40"/>
      </w:rPr>
      <w:t>4</w:t>
    </w:r>
    <w:r w:rsidR="00A21F0F">
      <w:rPr>
        <w:rFonts w:ascii="Arial" w:hAnsi="Arial" w:cs="Arial"/>
        <w:color w:val="999999"/>
        <w:sz w:val="40"/>
        <w:szCs w:val="40"/>
      </w:rPr>
      <w:t>.</w:t>
    </w:r>
    <w:r w:rsidR="00A21F0F" w:rsidRPr="009D2CAD">
      <w:rPr>
        <w:rFonts w:ascii="Arial" w:hAnsi="Arial" w:cs="Arial"/>
        <w:color w:val="999999"/>
        <w:sz w:val="40"/>
        <w:szCs w:val="40"/>
      </w:rPr>
      <w:t xml:space="preserve"> redna seja</w:t>
    </w:r>
    <w:r w:rsidR="00A21F0F">
      <w:rPr>
        <w:rFonts w:ascii="Arial" w:hAnsi="Arial" w:cs="Arial"/>
        <w:color w:val="999999"/>
        <w:sz w:val="40"/>
        <w:szCs w:val="40"/>
      </w:rPr>
      <w:tab/>
    </w:r>
    <w:r w:rsidR="00A21F0F">
      <w:rPr>
        <w:rFonts w:ascii="Arial" w:hAnsi="Arial" w:cs="Arial"/>
        <w:color w:val="999999"/>
        <w:sz w:val="40"/>
        <w:szCs w:val="40"/>
      </w:rPr>
      <w:tab/>
      <w:t xml:space="preserve">                               </w:t>
    </w:r>
    <w:r w:rsidR="00E139DB">
      <w:rPr>
        <w:rFonts w:ascii="Arial" w:hAnsi="Arial" w:cs="Arial"/>
        <w:color w:val="999999"/>
        <w:sz w:val="40"/>
        <w:szCs w:val="40"/>
      </w:rPr>
      <w:t>5</w:t>
    </w:r>
    <w:r w:rsidR="00A21F0F">
      <w:rPr>
        <w:rFonts w:ascii="Arial" w:hAnsi="Arial" w:cs="Arial"/>
        <w:color w:val="999999"/>
        <w:sz w:val="40"/>
        <w:szCs w:val="40"/>
      </w:rPr>
      <w:t>. točka</w:t>
    </w:r>
  </w:p>
  <w:p w14:paraId="63551A6B" w14:textId="77777777" w:rsidR="00DD5A42" w:rsidRPr="00832097" w:rsidRDefault="00E139DB" w:rsidP="00832097">
    <w:pPr>
      <w:pStyle w:val="Glava"/>
      <w:jc w:val="both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98B2" w14:textId="77777777" w:rsidR="00E139DB" w:rsidRDefault="00E139D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81E"/>
    <w:multiLevelType w:val="hybridMultilevel"/>
    <w:tmpl w:val="47EA60C4"/>
    <w:lvl w:ilvl="0" w:tplc="12BC2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84C"/>
    <w:multiLevelType w:val="hybridMultilevel"/>
    <w:tmpl w:val="B6905DAC"/>
    <w:lvl w:ilvl="0" w:tplc="EAAC89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76EF"/>
    <w:multiLevelType w:val="hybridMultilevel"/>
    <w:tmpl w:val="22CC72FE"/>
    <w:lvl w:ilvl="0" w:tplc="5FD277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6692"/>
    <w:multiLevelType w:val="hybridMultilevel"/>
    <w:tmpl w:val="4B7AE7E6"/>
    <w:lvl w:ilvl="0" w:tplc="94760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23230"/>
    <w:multiLevelType w:val="hybridMultilevel"/>
    <w:tmpl w:val="4DE6F030"/>
    <w:lvl w:ilvl="0" w:tplc="CDBC436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78DB"/>
    <w:multiLevelType w:val="hybridMultilevel"/>
    <w:tmpl w:val="2AF6957A"/>
    <w:lvl w:ilvl="0" w:tplc="585A11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62010"/>
    <w:multiLevelType w:val="hybridMultilevel"/>
    <w:tmpl w:val="B6905DAC"/>
    <w:lvl w:ilvl="0" w:tplc="EAAC89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817"/>
    <w:multiLevelType w:val="hybridMultilevel"/>
    <w:tmpl w:val="4B7AE7E6"/>
    <w:lvl w:ilvl="0" w:tplc="94760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EFD"/>
    <w:multiLevelType w:val="hybridMultilevel"/>
    <w:tmpl w:val="4E9E6530"/>
    <w:lvl w:ilvl="0" w:tplc="CDBC436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3453B"/>
    <w:multiLevelType w:val="hybridMultilevel"/>
    <w:tmpl w:val="B6905DAC"/>
    <w:lvl w:ilvl="0" w:tplc="EAAC89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62E0E"/>
    <w:multiLevelType w:val="hybridMultilevel"/>
    <w:tmpl w:val="B80413C0"/>
    <w:lvl w:ilvl="0" w:tplc="7C72B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064D4"/>
    <w:multiLevelType w:val="hybridMultilevel"/>
    <w:tmpl w:val="D76E290A"/>
    <w:lvl w:ilvl="0" w:tplc="D2BAC62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73B8A"/>
    <w:multiLevelType w:val="hybridMultilevel"/>
    <w:tmpl w:val="B6905DAC"/>
    <w:lvl w:ilvl="0" w:tplc="EAAC89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735E"/>
    <w:multiLevelType w:val="hybridMultilevel"/>
    <w:tmpl w:val="B6905DAC"/>
    <w:lvl w:ilvl="0" w:tplc="EAAC89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A3B10"/>
    <w:multiLevelType w:val="hybridMultilevel"/>
    <w:tmpl w:val="FD44DEA2"/>
    <w:lvl w:ilvl="0" w:tplc="B2E45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D73DB"/>
    <w:multiLevelType w:val="hybridMultilevel"/>
    <w:tmpl w:val="B6905DAC"/>
    <w:lvl w:ilvl="0" w:tplc="EAAC89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7175E"/>
    <w:multiLevelType w:val="hybridMultilevel"/>
    <w:tmpl w:val="FD44DEA2"/>
    <w:lvl w:ilvl="0" w:tplc="B2E45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B2E62"/>
    <w:multiLevelType w:val="hybridMultilevel"/>
    <w:tmpl w:val="B6905DAC"/>
    <w:lvl w:ilvl="0" w:tplc="EAAC89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5BE6"/>
    <w:multiLevelType w:val="hybridMultilevel"/>
    <w:tmpl w:val="8DAA2E92"/>
    <w:lvl w:ilvl="0" w:tplc="191C85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F0167"/>
    <w:multiLevelType w:val="hybridMultilevel"/>
    <w:tmpl w:val="D83CEF3E"/>
    <w:lvl w:ilvl="0" w:tplc="110A24E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64487"/>
    <w:multiLevelType w:val="hybridMultilevel"/>
    <w:tmpl w:val="4B7AE7E6"/>
    <w:lvl w:ilvl="0" w:tplc="94760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4A25"/>
    <w:multiLevelType w:val="hybridMultilevel"/>
    <w:tmpl w:val="4B7AE7E6"/>
    <w:lvl w:ilvl="0" w:tplc="94760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86C37"/>
    <w:multiLevelType w:val="hybridMultilevel"/>
    <w:tmpl w:val="C24EE396"/>
    <w:lvl w:ilvl="0" w:tplc="1376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52F6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254BC"/>
    <w:multiLevelType w:val="hybridMultilevel"/>
    <w:tmpl w:val="D76E290A"/>
    <w:lvl w:ilvl="0" w:tplc="D2BAC62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253E4"/>
    <w:multiLevelType w:val="hybridMultilevel"/>
    <w:tmpl w:val="A9303A1E"/>
    <w:lvl w:ilvl="0" w:tplc="22BCFEAA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B0053"/>
    <w:multiLevelType w:val="hybridMultilevel"/>
    <w:tmpl w:val="FD44DEA2"/>
    <w:lvl w:ilvl="0" w:tplc="B2E4528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31BA4"/>
    <w:multiLevelType w:val="hybridMultilevel"/>
    <w:tmpl w:val="B6905DAC"/>
    <w:lvl w:ilvl="0" w:tplc="EAAC89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82030"/>
    <w:multiLevelType w:val="hybridMultilevel"/>
    <w:tmpl w:val="3B1E3694"/>
    <w:lvl w:ilvl="0" w:tplc="16F4D5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76B89"/>
    <w:multiLevelType w:val="hybridMultilevel"/>
    <w:tmpl w:val="B6905DAC"/>
    <w:lvl w:ilvl="0" w:tplc="EAAC89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D300B"/>
    <w:multiLevelType w:val="hybridMultilevel"/>
    <w:tmpl w:val="FD44DEA2"/>
    <w:lvl w:ilvl="0" w:tplc="B2E45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43C05"/>
    <w:multiLevelType w:val="hybridMultilevel"/>
    <w:tmpl w:val="4B7AE7E6"/>
    <w:lvl w:ilvl="0" w:tplc="94760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E377D"/>
    <w:multiLevelType w:val="hybridMultilevel"/>
    <w:tmpl w:val="8B5A85F8"/>
    <w:lvl w:ilvl="0" w:tplc="1AA6C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43325"/>
    <w:multiLevelType w:val="hybridMultilevel"/>
    <w:tmpl w:val="B6905DAC"/>
    <w:lvl w:ilvl="0" w:tplc="EAAC89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28343">
    <w:abstractNumId w:val="8"/>
  </w:num>
  <w:num w:numId="2" w16cid:durableId="183522991">
    <w:abstractNumId w:val="10"/>
  </w:num>
  <w:num w:numId="3" w16cid:durableId="1185745852">
    <w:abstractNumId w:val="22"/>
  </w:num>
  <w:num w:numId="4" w16cid:durableId="1819108526">
    <w:abstractNumId w:val="20"/>
  </w:num>
  <w:num w:numId="5" w16cid:durableId="739134020">
    <w:abstractNumId w:val="19"/>
  </w:num>
  <w:num w:numId="6" w16cid:durableId="1741513399">
    <w:abstractNumId w:val="21"/>
  </w:num>
  <w:num w:numId="7" w16cid:durableId="1170104082">
    <w:abstractNumId w:val="24"/>
  </w:num>
  <w:num w:numId="8" w16cid:durableId="2012875457">
    <w:abstractNumId w:val="30"/>
  </w:num>
  <w:num w:numId="9" w16cid:durableId="927350534">
    <w:abstractNumId w:val="7"/>
  </w:num>
  <w:num w:numId="10" w16cid:durableId="86733863">
    <w:abstractNumId w:val="2"/>
  </w:num>
  <w:num w:numId="11" w16cid:durableId="1199663466">
    <w:abstractNumId w:val="3"/>
  </w:num>
  <w:num w:numId="12" w16cid:durableId="1540510657">
    <w:abstractNumId w:val="23"/>
  </w:num>
  <w:num w:numId="13" w16cid:durableId="1514104264">
    <w:abstractNumId w:val="11"/>
  </w:num>
  <w:num w:numId="14" w16cid:durableId="1692025127">
    <w:abstractNumId w:val="29"/>
  </w:num>
  <w:num w:numId="15" w16cid:durableId="1090588297">
    <w:abstractNumId w:val="14"/>
  </w:num>
  <w:num w:numId="16" w16cid:durableId="1511408246">
    <w:abstractNumId w:val="16"/>
  </w:num>
  <w:num w:numId="17" w16cid:durableId="1974872787">
    <w:abstractNumId w:val="25"/>
  </w:num>
  <w:num w:numId="18" w16cid:durableId="543561047">
    <w:abstractNumId w:val="12"/>
  </w:num>
  <w:num w:numId="19" w16cid:durableId="1385790323">
    <w:abstractNumId w:val="9"/>
  </w:num>
  <w:num w:numId="20" w16cid:durableId="1258639737">
    <w:abstractNumId w:val="13"/>
  </w:num>
  <w:num w:numId="21" w16cid:durableId="1706321750">
    <w:abstractNumId w:val="28"/>
  </w:num>
  <w:num w:numId="22" w16cid:durableId="618070750">
    <w:abstractNumId w:val="1"/>
  </w:num>
  <w:num w:numId="23" w16cid:durableId="539560595">
    <w:abstractNumId w:val="26"/>
  </w:num>
  <w:num w:numId="24" w16cid:durableId="1485463146">
    <w:abstractNumId w:val="32"/>
  </w:num>
  <w:num w:numId="25" w16cid:durableId="1387953632">
    <w:abstractNumId w:val="15"/>
  </w:num>
  <w:num w:numId="26" w16cid:durableId="1256204317">
    <w:abstractNumId w:val="6"/>
  </w:num>
  <w:num w:numId="27" w16cid:durableId="674722474">
    <w:abstractNumId w:val="17"/>
  </w:num>
  <w:num w:numId="28" w16cid:durableId="590086255">
    <w:abstractNumId w:val="0"/>
  </w:num>
  <w:num w:numId="29" w16cid:durableId="1473520624">
    <w:abstractNumId w:val="31"/>
  </w:num>
  <w:num w:numId="30" w16cid:durableId="1523933138">
    <w:abstractNumId w:val="4"/>
  </w:num>
  <w:num w:numId="31" w16cid:durableId="1944222819">
    <w:abstractNumId w:val="27"/>
  </w:num>
  <w:num w:numId="32" w16cid:durableId="993410348">
    <w:abstractNumId w:val="5"/>
  </w:num>
  <w:num w:numId="33" w16cid:durableId="6473691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53"/>
    <w:rsid w:val="00037A05"/>
    <w:rsid w:val="00045561"/>
    <w:rsid w:val="000A1F54"/>
    <w:rsid w:val="000A6039"/>
    <w:rsid w:val="001505C3"/>
    <w:rsid w:val="001E1177"/>
    <w:rsid w:val="00257735"/>
    <w:rsid w:val="002C3CD9"/>
    <w:rsid w:val="002D57C6"/>
    <w:rsid w:val="0034798A"/>
    <w:rsid w:val="00370A0D"/>
    <w:rsid w:val="003851B4"/>
    <w:rsid w:val="003F1E49"/>
    <w:rsid w:val="00412F3F"/>
    <w:rsid w:val="00435A41"/>
    <w:rsid w:val="00470BDC"/>
    <w:rsid w:val="004747E4"/>
    <w:rsid w:val="00590211"/>
    <w:rsid w:val="006513DB"/>
    <w:rsid w:val="006960E2"/>
    <w:rsid w:val="006A503B"/>
    <w:rsid w:val="006E14B6"/>
    <w:rsid w:val="007139B0"/>
    <w:rsid w:val="00721163"/>
    <w:rsid w:val="007C2458"/>
    <w:rsid w:val="008048D8"/>
    <w:rsid w:val="008B6CD0"/>
    <w:rsid w:val="00922E93"/>
    <w:rsid w:val="0099761C"/>
    <w:rsid w:val="009B0C53"/>
    <w:rsid w:val="00A14978"/>
    <w:rsid w:val="00A21F0F"/>
    <w:rsid w:val="00A87C3D"/>
    <w:rsid w:val="00AC1DE2"/>
    <w:rsid w:val="00AE1805"/>
    <w:rsid w:val="00AE4513"/>
    <w:rsid w:val="00B02540"/>
    <w:rsid w:val="00B16D1E"/>
    <w:rsid w:val="00B245E7"/>
    <w:rsid w:val="00B621AA"/>
    <w:rsid w:val="00BA44AF"/>
    <w:rsid w:val="00C17E70"/>
    <w:rsid w:val="00D51AF3"/>
    <w:rsid w:val="00D9554E"/>
    <w:rsid w:val="00E07ED2"/>
    <w:rsid w:val="00E139DB"/>
    <w:rsid w:val="00E342FF"/>
    <w:rsid w:val="00E41204"/>
    <w:rsid w:val="00E45113"/>
    <w:rsid w:val="00E560D7"/>
    <w:rsid w:val="00E93C86"/>
    <w:rsid w:val="00E975E5"/>
    <w:rsid w:val="00EA5E55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1B00D"/>
  <w15:chartTrackingRefBased/>
  <w15:docId w15:val="{186E562B-18CF-4A84-9FAB-B1DA0CEB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0C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B0C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B0C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lava">
    <w:name w:val="header"/>
    <w:basedOn w:val="Navaden"/>
    <w:link w:val="GlavaZnak"/>
    <w:rsid w:val="009B0C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B0C53"/>
    <w:rPr>
      <w:rFonts w:ascii="Times New Roman" w:eastAsia="Lucida Sans Unicode" w:hAnsi="Times New Roman" w:cs="Times New Roman"/>
      <w:sz w:val="24"/>
      <w:szCs w:val="24"/>
    </w:rPr>
  </w:style>
  <w:style w:type="paragraph" w:styleId="Noga">
    <w:name w:val="footer"/>
    <w:basedOn w:val="Navaden"/>
    <w:link w:val="NogaZnak"/>
    <w:rsid w:val="009B0C53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9B0C53"/>
    <w:rPr>
      <w:rFonts w:ascii="Times New Roman" w:eastAsia="Lucida Sans Unicode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9B0C53"/>
  </w:style>
  <w:style w:type="paragraph" w:styleId="Odstavekseznama">
    <w:name w:val="List Paragraph"/>
    <w:aliases w:val="za tekst"/>
    <w:basedOn w:val="Navaden"/>
    <w:link w:val="OdstavekseznamaZnak"/>
    <w:uiPriority w:val="34"/>
    <w:qFormat/>
    <w:rsid w:val="009B0C53"/>
    <w:pPr>
      <w:ind w:left="708"/>
    </w:pPr>
  </w:style>
  <w:style w:type="paragraph" w:styleId="Brezrazmikov">
    <w:name w:val="No Spacing"/>
    <w:uiPriority w:val="1"/>
    <w:qFormat/>
    <w:rsid w:val="009B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aliases w:val="za tekst Znak"/>
    <w:link w:val="Odstavekseznama"/>
    <w:uiPriority w:val="99"/>
    <w:locked/>
    <w:rsid w:val="009B0C53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9B0C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9B0C53"/>
    <w:pPr>
      <w:widowControl w:val="0"/>
    </w:pPr>
    <w:rPr>
      <w:rFonts w:eastAsia="Times New Roman"/>
      <w:color w:val="auto"/>
      <w:lang w:eastAsia="sl-SI"/>
    </w:rPr>
  </w:style>
  <w:style w:type="paragraph" w:customStyle="1" w:styleId="CM6">
    <w:name w:val="CM6"/>
    <w:basedOn w:val="Default"/>
    <w:next w:val="Default"/>
    <w:uiPriority w:val="99"/>
    <w:rsid w:val="009B0C53"/>
    <w:pPr>
      <w:widowControl w:val="0"/>
      <w:spacing w:line="200" w:lineRule="atLeast"/>
    </w:pPr>
    <w:rPr>
      <w:rFonts w:eastAsia="Times New Roman"/>
      <w:color w:val="auto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B0C53"/>
    <w:pPr>
      <w:widowControl/>
      <w:numPr>
        <w:ilvl w:val="1"/>
      </w:numPr>
      <w:suppressAutoHyphens w:val="0"/>
      <w:spacing w:after="200" w:line="276" w:lineRule="auto"/>
      <w:jc w:val="center"/>
    </w:pPr>
    <w:rPr>
      <w:rFonts w:ascii="Trebuchet MS" w:eastAsia="Times New Roman" w:hAnsi="Trebuchet MS"/>
      <w:b/>
      <w:iCs/>
      <w:color w:val="000000"/>
      <w:spacing w:val="15"/>
      <w:sz w:val="20"/>
    </w:rPr>
  </w:style>
  <w:style w:type="character" w:customStyle="1" w:styleId="PodnaslovZnak">
    <w:name w:val="Podnaslov Znak"/>
    <w:basedOn w:val="Privzetapisavaodstavka"/>
    <w:link w:val="Podnaslov"/>
    <w:uiPriority w:val="11"/>
    <w:rsid w:val="009B0C53"/>
    <w:rPr>
      <w:rFonts w:ascii="Trebuchet MS" w:eastAsia="Times New Roman" w:hAnsi="Trebuchet MS" w:cs="Times New Roman"/>
      <w:b/>
      <w:iCs/>
      <w:color w:val="000000"/>
      <w:spacing w:val="15"/>
      <w:sz w:val="20"/>
      <w:szCs w:val="24"/>
    </w:rPr>
  </w:style>
  <w:style w:type="table" w:styleId="Tabelamrea">
    <w:name w:val="Table Grid"/>
    <w:basedOn w:val="Navadnatabela"/>
    <w:uiPriority w:val="59"/>
    <w:rsid w:val="009B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Člen"/>
    <w:basedOn w:val="Navaden"/>
    <w:link w:val="lenZnak"/>
    <w:qFormat/>
    <w:rsid w:val="009B0C53"/>
    <w:pPr>
      <w:widowControl/>
      <w:spacing w:before="480"/>
      <w:ind w:left="425" w:hanging="357"/>
      <w:jc w:val="center"/>
    </w:pPr>
    <w:rPr>
      <w:rFonts w:ascii="Arial" w:eastAsia="Times New Roman" w:hAnsi="Arial" w:cs="Arial"/>
      <w:b/>
      <w:sz w:val="22"/>
      <w:szCs w:val="22"/>
      <w:lang w:eastAsia="sl-SI"/>
    </w:rPr>
  </w:style>
  <w:style w:type="character" w:customStyle="1" w:styleId="lenZnak">
    <w:name w:val="Člen Znak"/>
    <w:link w:val="len"/>
    <w:rsid w:val="009B0C53"/>
    <w:rPr>
      <w:rFonts w:ascii="Arial" w:eastAsia="Times New Roman" w:hAnsi="Arial" w:cs="Arial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Beti Čufer</cp:lastModifiedBy>
  <cp:revision>6</cp:revision>
  <cp:lastPrinted>2023-03-03T08:47:00Z</cp:lastPrinted>
  <dcterms:created xsi:type="dcterms:W3CDTF">2023-03-03T08:55:00Z</dcterms:created>
  <dcterms:modified xsi:type="dcterms:W3CDTF">2023-03-28T12:44:00Z</dcterms:modified>
</cp:coreProperties>
</file>