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FB0B8" w14:textId="77777777" w:rsidR="00D47744" w:rsidRPr="00D47744" w:rsidRDefault="00D47744" w:rsidP="00D47744">
      <w:pPr>
        <w:pStyle w:val="Naslov1"/>
        <w:numPr>
          <w:ilvl w:val="0"/>
          <w:numId w:val="0"/>
        </w:numPr>
        <w:jc w:val="center"/>
        <w:rPr>
          <w:sz w:val="32"/>
          <w:szCs w:val="32"/>
          <w:lang w:val="sl-SI"/>
        </w:rPr>
      </w:pPr>
      <w:bookmarkStart w:id="0" w:name="_Toc319996133"/>
      <w:r w:rsidRPr="00D47744">
        <w:rPr>
          <w:sz w:val="32"/>
          <w:szCs w:val="32"/>
          <w:lang w:val="sl-SI"/>
        </w:rPr>
        <w:t xml:space="preserve">LOKALNI ENERGETSKI KONCEPT OBČINE </w:t>
      </w:r>
      <w:r w:rsidR="006F7A1D">
        <w:rPr>
          <w:sz w:val="32"/>
          <w:szCs w:val="32"/>
          <w:lang w:val="sl-SI"/>
        </w:rPr>
        <w:t>RENČE-VOGRSKO</w:t>
      </w:r>
    </w:p>
    <w:p w14:paraId="2A7FB0B9" w14:textId="77777777" w:rsidR="00D47744" w:rsidRDefault="00D47744" w:rsidP="00D47744">
      <w:pPr>
        <w:rPr>
          <w:lang w:eastAsia="x-none"/>
        </w:rPr>
      </w:pPr>
    </w:p>
    <w:p w14:paraId="2A7FB0BA" w14:textId="77777777" w:rsidR="00735D25" w:rsidRDefault="00735D25" w:rsidP="00735D25">
      <w:pPr>
        <w:pStyle w:val="Naslov1"/>
        <w:numPr>
          <w:ilvl w:val="0"/>
          <w:numId w:val="0"/>
        </w:numPr>
        <w:rPr>
          <w:lang w:val="sl-SI"/>
        </w:rPr>
      </w:pPr>
      <w:r w:rsidRPr="00A574B9">
        <w:t>POVZETEK</w:t>
      </w:r>
      <w:bookmarkEnd w:id="0"/>
    </w:p>
    <w:p w14:paraId="2A7FB0BB" w14:textId="77777777" w:rsidR="00735D25" w:rsidRDefault="00735D25" w:rsidP="00735D25">
      <w:pPr>
        <w:jc w:val="both"/>
        <w:rPr>
          <w:lang w:eastAsia="x-none"/>
        </w:rPr>
      </w:pPr>
      <w:r>
        <w:rPr>
          <w:lang w:eastAsia="x-none"/>
        </w:rPr>
        <w:t xml:space="preserve">Lokalni energetski koncept občine </w:t>
      </w:r>
      <w:r w:rsidR="006F7A1D">
        <w:rPr>
          <w:lang w:eastAsia="x-none"/>
        </w:rPr>
        <w:t>Renče-Vogrsko</w:t>
      </w:r>
      <w:r>
        <w:rPr>
          <w:lang w:eastAsia="x-none"/>
        </w:rPr>
        <w:t xml:space="preserve"> (LEK) je strateško-izvedbeni dokument, ki ga sprejme občina za obdobje 10 let. Vsebuje analizo stanja porabe energentov in rabe energije po vseh skupinah porabnikov, analizo povzročenih emisij onesnaževal zaradi izrabe energentov ter analizo potencialov izrabe lokalnih obnovljivih virov energije (OVE) in učinkovite rabe energije (URE).</w:t>
      </w:r>
    </w:p>
    <w:p w14:paraId="2A7FB0BC" w14:textId="77777777" w:rsidR="00735D25" w:rsidRPr="00735D25" w:rsidRDefault="00735D25" w:rsidP="00735D25">
      <w:pPr>
        <w:jc w:val="both"/>
        <w:rPr>
          <w:lang w:eastAsia="x-none"/>
        </w:rPr>
      </w:pPr>
      <w:r>
        <w:rPr>
          <w:lang w:eastAsia="x-none"/>
        </w:rPr>
        <w:t>Na podlagi analize stanja so opredeljeni strateški cilji občine do leta 202</w:t>
      </w:r>
      <w:r w:rsidR="006F7A1D">
        <w:rPr>
          <w:lang w:eastAsia="x-none"/>
        </w:rPr>
        <w:t>0</w:t>
      </w:r>
      <w:r>
        <w:rPr>
          <w:lang w:eastAsia="x-none"/>
        </w:rPr>
        <w:t xml:space="preserve">, ki so usklajeni z nacionalnimi cilji na energetskem področju. Za dosego zastavljenih ciljev so opredeljeni izvedbeni ukrepi ter njim pripadajoči kazalniki za merjenje uspešnosti izvajanja. </w:t>
      </w:r>
      <w:r w:rsidR="00F7346B">
        <w:rPr>
          <w:lang w:eastAsia="x-none"/>
        </w:rPr>
        <w:t>Ukrepi so oblikovani v akcijski načrt, kjer so za vse aktivnosti določene odgovorne osebe, nosilci izvajanja, rok izvedbe ter možni viri financiranja.</w:t>
      </w:r>
    </w:p>
    <w:p w14:paraId="2A7FB0BD" w14:textId="77777777" w:rsidR="00735D25" w:rsidRDefault="00735D25" w:rsidP="00735D25">
      <w:pPr>
        <w:pStyle w:val="Naslov1"/>
      </w:pPr>
      <w:r>
        <w:rPr>
          <w:lang w:val="sl-SI"/>
        </w:rPr>
        <w:t xml:space="preserve"> </w:t>
      </w:r>
      <w:bookmarkStart w:id="1" w:name="_Toc319996134"/>
      <w:r>
        <w:t>Namen in cilji LEK</w:t>
      </w:r>
      <w:bookmarkEnd w:id="1"/>
    </w:p>
    <w:p w14:paraId="2A7FB0BE" w14:textId="77777777" w:rsidR="00735D25" w:rsidRPr="00A574B9" w:rsidRDefault="00735D25" w:rsidP="00735D25">
      <w:pPr>
        <w:jc w:val="both"/>
      </w:pPr>
      <w:r>
        <w:t>N</w:t>
      </w:r>
      <w:r w:rsidRPr="00A574B9">
        <w:t xml:space="preserve">amen lokalnega energetskega koncepta je oblikovanje temeljnega dokumenta za energetsko strategijo občine, povezano z njeno okoljsko politiko. LEK je še posebej pomemben za pripravo izvajanja konkretnih ukrepov tako na področju učinkovite rabe energije, uvajanja oziroma večje izrabe </w:t>
      </w:r>
      <w:r>
        <w:t xml:space="preserve">lokalnih </w:t>
      </w:r>
      <w:r w:rsidRPr="00A574B9">
        <w:t xml:space="preserve">obnovljivih virov energije </w:t>
      </w:r>
      <w:r>
        <w:t>ter predvsem na področju obveščanja in ozaveščanja občanov ter drugih uporabnikov energije</w:t>
      </w:r>
      <w:r w:rsidRPr="00A574B9">
        <w:t>.</w:t>
      </w:r>
    </w:p>
    <w:p w14:paraId="2A7FB0BF" w14:textId="77777777" w:rsidR="00735D25" w:rsidRPr="00A574B9" w:rsidRDefault="00735D25" w:rsidP="00735D25">
      <w:r>
        <w:t>Cilji</w:t>
      </w:r>
      <w:r w:rsidRPr="00A574B9">
        <w:t xml:space="preserve"> izdelave in izvedbe lokalnega energetskega koncepta </w:t>
      </w:r>
      <w:r>
        <w:t>so</w:t>
      </w:r>
      <w:r w:rsidRPr="00A574B9">
        <w:t>:</w:t>
      </w:r>
    </w:p>
    <w:p w14:paraId="2A7FB0C0" w14:textId="77777777" w:rsidR="00735D25" w:rsidRPr="00A574B9" w:rsidRDefault="00735D25" w:rsidP="00F7346B">
      <w:pPr>
        <w:pStyle w:val="Odstavekseznama"/>
        <w:numPr>
          <w:ilvl w:val="0"/>
          <w:numId w:val="5"/>
        </w:numPr>
      </w:pPr>
      <w:r w:rsidRPr="00A574B9">
        <w:t>učinkovita raba energije pri vseh skupinah odjemalcev,</w:t>
      </w:r>
    </w:p>
    <w:p w14:paraId="2A7FB0C1" w14:textId="77777777" w:rsidR="00735D25" w:rsidRPr="00A574B9" w:rsidRDefault="00735D25" w:rsidP="00F7346B">
      <w:pPr>
        <w:pStyle w:val="Odstavekseznama"/>
        <w:numPr>
          <w:ilvl w:val="0"/>
          <w:numId w:val="5"/>
        </w:numPr>
      </w:pPr>
      <w:r w:rsidRPr="00A574B9">
        <w:t>uvajanje obnovljivih virov energije v lokalno energetsko bilanco,</w:t>
      </w:r>
    </w:p>
    <w:p w14:paraId="2A7FB0C2" w14:textId="77777777" w:rsidR="00735D25" w:rsidRPr="00A574B9" w:rsidRDefault="00735D25" w:rsidP="00F7346B">
      <w:pPr>
        <w:pStyle w:val="Odstavekseznama"/>
        <w:numPr>
          <w:ilvl w:val="0"/>
          <w:numId w:val="5"/>
        </w:numPr>
      </w:pPr>
      <w:r w:rsidRPr="00A574B9">
        <w:t>zmanjševanje emisij toplogrednih plinov,</w:t>
      </w:r>
    </w:p>
    <w:p w14:paraId="2A7FB0C3" w14:textId="77777777" w:rsidR="00735D25" w:rsidRPr="00A574B9" w:rsidRDefault="00735D25" w:rsidP="00F7346B">
      <w:pPr>
        <w:pStyle w:val="Odstavekseznama"/>
        <w:numPr>
          <w:ilvl w:val="0"/>
          <w:numId w:val="5"/>
        </w:numPr>
      </w:pPr>
      <w:r w:rsidRPr="00A574B9">
        <w:t>trajnostna energetska oskrba,</w:t>
      </w:r>
    </w:p>
    <w:p w14:paraId="2A7FB0C4" w14:textId="77777777" w:rsidR="00735D25" w:rsidRPr="00A574B9" w:rsidRDefault="00735D25" w:rsidP="00F7346B">
      <w:pPr>
        <w:pStyle w:val="Odstavekseznama"/>
        <w:numPr>
          <w:ilvl w:val="0"/>
          <w:numId w:val="5"/>
        </w:numPr>
      </w:pPr>
      <w:r w:rsidRPr="00A574B9">
        <w:t>uvajanje načrtovanja rabe energije,</w:t>
      </w:r>
    </w:p>
    <w:p w14:paraId="2A7FB0C5" w14:textId="77777777" w:rsidR="00735D25" w:rsidRPr="00A574B9" w:rsidRDefault="00735D25" w:rsidP="00F7346B">
      <w:pPr>
        <w:pStyle w:val="Odstavekseznama"/>
        <w:numPr>
          <w:ilvl w:val="0"/>
          <w:numId w:val="5"/>
        </w:numPr>
      </w:pPr>
      <w:r w:rsidRPr="00A574B9">
        <w:t>uvajanje ciljnega spremljanja rabe energije,</w:t>
      </w:r>
    </w:p>
    <w:p w14:paraId="2A7FB0C6" w14:textId="77777777" w:rsidR="00735D25" w:rsidRPr="00A574B9" w:rsidRDefault="00735D25" w:rsidP="00F7346B">
      <w:pPr>
        <w:pStyle w:val="Odstavekseznama"/>
        <w:numPr>
          <w:ilvl w:val="0"/>
          <w:numId w:val="5"/>
        </w:numPr>
      </w:pPr>
      <w:r w:rsidRPr="00A574B9">
        <w:t>uvajanje kontinuiranega ozaveščanja vseh skupin odjemalcev energije na lokalni ravni.</w:t>
      </w:r>
    </w:p>
    <w:p w14:paraId="2A7FB0C7" w14:textId="77777777" w:rsidR="00735D25" w:rsidRDefault="00735D25" w:rsidP="00735D25">
      <w:pPr>
        <w:pStyle w:val="Naslov1"/>
      </w:pPr>
      <w:r>
        <w:rPr>
          <w:lang w:val="sl-SI"/>
        </w:rPr>
        <w:t xml:space="preserve"> </w:t>
      </w:r>
      <w:bookmarkStart w:id="2" w:name="_Toc319996135"/>
      <w:r>
        <w:t xml:space="preserve">Povzetek </w:t>
      </w:r>
      <w:r>
        <w:rPr>
          <w:lang w:val="sl-SI"/>
        </w:rPr>
        <w:t xml:space="preserve">analize </w:t>
      </w:r>
      <w:r>
        <w:t>stanja</w:t>
      </w:r>
      <w:bookmarkEnd w:id="2"/>
      <w:r>
        <w:t xml:space="preserve"> </w:t>
      </w:r>
    </w:p>
    <w:p w14:paraId="2A7FB0C8" w14:textId="77777777" w:rsidR="00735D25" w:rsidRDefault="00735D25" w:rsidP="00735D25">
      <w:pPr>
        <w:jc w:val="both"/>
        <w:rPr>
          <w:lang w:eastAsia="sl-SI"/>
        </w:rPr>
      </w:pPr>
      <w:r>
        <w:rPr>
          <w:lang w:eastAsia="sl-SI"/>
        </w:rPr>
        <w:t>V občini je največja poraba energentov za ogrevanje v gospodinjstvih</w:t>
      </w:r>
      <w:r w:rsidR="006F7A1D">
        <w:rPr>
          <w:lang w:eastAsia="sl-SI"/>
        </w:rPr>
        <w:t xml:space="preserve"> ter za potrebe v poslovnem sektorju. Največ, </w:t>
      </w:r>
      <w:r>
        <w:rPr>
          <w:lang w:eastAsia="sl-SI"/>
        </w:rPr>
        <w:t>5</w:t>
      </w:r>
      <w:r w:rsidR="006F7A1D">
        <w:rPr>
          <w:lang w:eastAsia="sl-SI"/>
        </w:rPr>
        <w:t>9% stanovanj se ogreva na ELKO</w:t>
      </w:r>
      <w:r>
        <w:rPr>
          <w:lang w:eastAsia="sl-SI"/>
        </w:rPr>
        <w:t xml:space="preserve">, sledi </w:t>
      </w:r>
      <w:r w:rsidR="006F7A1D">
        <w:rPr>
          <w:lang w:eastAsia="sl-SI"/>
        </w:rPr>
        <w:t>les z 46</w:t>
      </w:r>
      <w:r>
        <w:rPr>
          <w:lang w:eastAsia="sl-SI"/>
        </w:rPr>
        <w:t>%. Povprečna poraba energije za o</w:t>
      </w:r>
      <w:r w:rsidR="006F7A1D">
        <w:rPr>
          <w:lang w:eastAsia="sl-SI"/>
        </w:rPr>
        <w:t>grevanje v stanovanjih znaša 157</w:t>
      </w:r>
      <w:r>
        <w:rPr>
          <w:lang w:eastAsia="sl-SI"/>
        </w:rPr>
        <w:t xml:space="preserve"> kWh/m</w:t>
      </w:r>
      <w:r w:rsidRPr="00932AEE">
        <w:rPr>
          <w:vertAlign w:val="superscript"/>
          <w:lang w:eastAsia="sl-SI"/>
        </w:rPr>
        <w:t>2</w:t>
      </w:r>
      <w:r w:rsidR="006F7A1D">
        <w:rPr>
          <w:lang w:eastAsia="sl-SI"/>
        </w:rPr>
        <w:t>/leto, ali 6.230 MWh/prebivalca (30</w:t>
      </w:r>
      <w:r>
        <w:rPr>
          <w:lang w:eastAsia="sl-SI"/>
        </w:rPr>
        <w:t xml:space="preserve">% več kot v Sloveniji). </w:t>
      </w:r>
      <w:r w:rsidR="00642684">
        <w:rPr>
          <w:lang w:eastAsia="sl-SI"/>
        </w:rPr>
        <w:t xml:space="preserve">To je predvsem posledica starih in energetsko neučinkovitih stavb. </w:t>
      </w:r>
      <w:r>
        <w:rPr>
          <w:lang w:eastAsia="sl-SI"/>
        </w:rPr>
        <w:t>Gospo</w:t>
      </w:r>
      <w:r w:rsidR="006F7A1D">
        <w:rPr>
          <w:lang w:eastAsia="sl-SI"/>
        </w:rPr>
        <w:t>dinjstva skupno porabijo okoli 6</w:t>
      </w:r>
      <w:r>
        <w:rPr>
          <w:lang w:eastAsia="sl-SI"/>
        </w:rPr>
        <w:t>.</w:t>
      </w:r>
      <w:r w:rsidR="006F7A1D">
        <w:rPr>
          <w:lang w:eastAsia="sl-SI"/>
        </w:rPr>
        <w:t>581</w:t>
      </w:r>
      <w:r>
        <w:rPr>
          <w:lang w:eastAsia="sl-SI"/>
        </w:rPr>
        <w:t xml:space="preserve"> MWh električne energije na leto, kar znaša 4.</w:t>
      </w:r>
      <w:r w:rsidR="006F7A1D">
        <w:rPr>
          <w:lang w:eastAsia="sl-SI"/>
        </w:rPr>
        <w:t>003 kWh/ gospodinjstvo ali 1,2</w:t>
      </w:r>
      <w:r>
        <w:rPr>
          <w:lang w:eastAsia="sl-SI"/>
        </w:rPr>
        <w:t>% več kot v Sloveniji.</w:t>
      </w:r>
    </w:p>
    <w:p w14:paraId="2A7FB0C9" w14:textId="77777777" w:rsidR="00735D25" w:rsidRDefault="006F7A1D" w:rsidP="00735D25">
      <w:pPr>
        <w:jc w:val="both"/>
        <w:rPr>
          <w:lang w:eastAsia="sl-SI"/>
        </w:rPr>
      </w:pPr>
      <w:r>
        <w:rPr>
          <w:lang w:eastAsia="sl-SI"/>
        </w:rPr>
        <w:t>V občini se nahaja 8 javnih stavb v občinski lasti</w:t>
      </w:r>
      <w:r w:rsidR="00735D25">
        <w:rPr>
          <w:lang w:eastAsia="sl-SI"/>
        </w:rPr>
        <w:t xml:space="preserve">. </w:t>
      </w:r>
      <w:r>
        <w:t>Tri stavbe osnovnih šol in stavba KS Renče se ogrevajo z ELKO, ostale 4 stavbe pa z elektriko</w:t>
      </w:r>
      <w:r w:rsidR="00735D25" w:rsidRPr="00A574B9">
        <w:t>.</w:t>
      </w:r>
      <w:r w:rsidR="00735D25">
        <w:t xml:space="preserve"> </w:t>
      </w:r>
      <w:r w:rsidR="00735D25">
        <w:rPr>
          <w:lang w:eastAsia="sl-SI"/>
        </w:rPr>
        <w:t>Povprečno energijsko število za ogrevanj</w:t>
      </w:r>
      <w:r>
        <w:rPr>
          <w:lang w:eastAsia="sl-SI"/>
        </w:rPr>
        <w:t xml:space="preserve">e v OŠ in VVZ </w:t>
      </w:r>
      <w:r>
        <w:rPr>
          <w:lang w:eastAsia="sl-SI"/>
        </w:rPr>
        <w:lastRenderedPageBreak/>
        <w:t>v občini znaša 140</w:t>
      </w:r>
      <w:r w:rsidR="00735D25">
        <w:rPr>
          <w:lang w:eastAsia="sl-SI"/>
        </w:rPr>
        <w:t xml:space="preserve"> kWh/m</w:t>
      </w:r>
      <w:r w:rsidR="00735D25" w:rsidRPr="00932AEE">
        <w:rPr>
          <w:vertAlign w:val="superscript"/>
          <w:lang w:eastAsia="sl-SI"/>
        </w:rPr>
        <w:t>2</w:t>
      </w:r>
      <w:r w:rsidR="00735D25">
        <w:rPr>
          <w:lang w:eastAsia="sl-SI"/>
        </w:rPr>
        <w:t xml:space="preserve">/leto, kar </w:t>
      </w:r>
      <w:r>
        <w:rPr>
          <w:lang w:eastAsia="sl-SI"/>
        </w:rPr>
        <w:t>je manj od povprečne vrednosti v Sloveniji, kljub temu pa več od ciljne vrednosti, ki je določena pri 80 kWh/m</w:t>
      </w:r>
      <w:r w:rsidRPr="006F7A1D">
        <w:rPr>
          <w:vertAlign w:val="superscript"/>
          <w:lang w:eastAsia="sl-SI"/>
        </w:rPr>
        <w:t>2</w:t>
      </w:r>
      <w:r>
        <w:rPr>
          <w:lang w:eastAsia="sl-SI"/>
        </w:rPr>
        <w:t>/leto</w:t>
      </w:r>
      <w:r w:rsidR="00735D25">
        <w:rPr>
          <w:lang w:eastAsia="sl-SI"/>
        </w:rPr>
        <w:t>. Javne stav</w:t>
      </w:r>
      <w:r>
        <w:rPr>
          <w:lang w:eastAsia="sl-SI"/>
        </w:rPr>
        <w:t>be skupno porabijo približno 312</w:t>
      </w:r>
      <w:r w:rsidR="00735D25">
        <w:rPr>
          <w:lang w:eastAsia="sl-SI"/>
        </w:rPr>
        <w:t xml:space="preserve"> MWh električne energije na leto, od tega samo </w:t>
      </w:r>
      <w:r>
        <w:rPr>
          <w:lang w:eastAsia="sl-SI"/>
        </w:rPr>
        <w:t>OŠ Renče približno skoraj 160</w:t>
      </w:r>
      <w:r w:rsidR="00735D25">
        <w:rPr>
          <w:lang w:eastAsia="sl-SI"/>
        </w:rPr>
        <w:t xml:space="preserve"> MWh/leto.</w:t>
      </w:r>
    </w:p>
    <w:p w14:paraId="2A7FB0CA" w14:textId="77777777" w:rsidR="00735D25" w:rsidRDefault="00735D25" w:rsidP="00735D25">
      <w:pPr>
        <w:jc w:val="both"/>
        <w:rPr>
          <w:lang w:eastAsia="sl-SI"/>
        </w:rPr>
      </w:pPr>
      <w:r>
        <w:rPr>
          <w:lang w:eastAsia="sl-SI"/>
        </w:rPr>
        <w:t xml:space="preserve">Večja podjetja v občini so </w:t>
      </w:r>
      <w:r w:rsidR="006F7A1D">
        <w:rPr>
          <w:lang w:eastAsia="sl-SI"/>
        </w:rPr>
        <w:t>Goriške opekarne d.d. in Tekstilna tovarna Okroglica d.d.</w:t>
      </w:r>
      <w:r>
        <w:rPr>
          <w:lang w:eastAsia="sl-SI"/>
        </w:rPr>
        <w:t xml:space="preserve">. V </w:t>
      </w:r>
      <w:r w:rsidR="006F7A1D">
        <w:rPr>
          <w:lang w:eastAsia="sl-SI"/>
        </w:rPr>
        <w:t xml:space="preserve">obeh </w:t>
      </w:r>
      <w:r>
        <w:rPr>
          <w:lang w:eastAsia="sl-SI"/>
        </w:rPr>
        <w:t>podjetjih</w:t>
      </w:r>
      <w:r w:rsidR="006F7A1D">
        <w:rPr>
          <w:lang w:eastAsia="sl-SI"/>
        </w:rPr>
        <w:t xml:space="preserve"> imajo izveden priključek na zemeljski plin</w:t>
      </w:r>
      <w:r>
        <w:rPr>
          <w:lang w:eastAsia="sl-SI"/>
        </w:rPr>
        <w:t>.</w:t>
      </w:r>
      <w:r w:rsidR="006F7A1D">
        <w:rPr>
          <w:lang w:eastAsia="sl-SI"/>
        </w:rPr>
        <w:t xml:space="preserve"> V Goriških opekarnah porabijo več kot 7,4 mio m</w:t>
      </w:r>
      <w:r w:rsidR="006F7A1D" w:rsidRPr="006F7A1D">
        <w:rPr>
          <w:vertAlign w:val="superscript"/>
          <w:lang w:eastAsia="sl-SI"/>
        </w:rPr>
        <w:t>3</w:t>
      </w:r>
      <w:r w:rsidR="006F7A1D">
        <w:rPr>
          <w:lang w:eastAsia="sl-SI"/>
        </w:rPr>
        <w:t xml:space="preserve"> zemeljskega plina na leto, v TT Okroglica pa okoli 150.000 m</w:t>
      </w:r>
      <w:r w:rsidR="006F7A1D" w:rsidRPr="006F7A1D">
        <w:rPr>
          <w:vertAlign w:val="superscript"/>
          <w:lang w:eastAsia="sl-SI"/>
        </w:rPr>
        <w:t>3</w:t>
      </w:r>
      <w:r w:rsidR="006F7A1D">
        <w:rPr>
          <w:lang w:eastAsia="sl-SI"/>
        </w:rPr>
        <w:t xml:space="preserve"> na leto.</w:t>
      </w:r>
      <w:r>
        <w:rPr>
          <w:lang w:eastAsia="sl-SI"/>
        </w:rPr>
        <w:t xml:space="preserve"> V omenjenih podjetjih porabijo približno </w:t>
      </w:r>
      <w:r w:rsidR="006F7A1D">
        <w:rPr>
          <w:lang w:eastAsia="sl-SI"/>
        </w:rPr>
        <w:t>9</w:t>
      </w:r>
      <w:r>
        <w:rPr>
          <w:lang w:eastAsia="sl-SI"/>
        </w:rPr>
        <w:t>.</w:t>
      </w:r>
      <w:r w:rsidR="006F7A1D">
        <w:rPr>
          <w:lang w:eastAsia="sl-SI"/>
        </w:rPr>
        <w:t>480</w:t>
      </w:r>
      <w:r>
        <w:rPr>
          <w:lang w:eastAsia="sl-SI"/>
        </w:rPr>
        <w:t xml:space="preserve"> MWh električne energije na leto.</w:t>
      </w:r>
    </w:p>
    <w:p w14:paraId="2A7FB0CB" w14:textId="77777777" w:rsidR="00735D25" w:rsidRDefault="00665F01" w:rsidP="00735D25">
      <w:pPr>
        <w:jc w:val="both"/>
      </w:pPr>
      <w:r>
        <w:rPr>
          <w:lang w:eastAsia="sl-SI"/>
        </w:rPr>
        <w:t>Na območju občine je 420 svetilk javne razsvetljave</w:t>
      </w:r>
      <w:r w:rsidR="00735D25">
        <w:rPr>
          <w:lang w:eastAsia="sl-SI"/>
        </w:rPr>
        <w:t xml:space="preserve">. Občina za javno razsvetljavo porabi približno </w:t>
      </w:r>
      <w:r>
        <w:rPr>
          <w:lang w:eastAsia="sl-SI"/>
        </w:rPr>
        <w:t>234</w:t>
      </w:r>
      <w:r w:rsidR="00735D25">
        <w:rPr>
          <w:lang w:eastAsia="sl-SI"/>
        </w:rPr>
        <w:t xml:space="preserve"> MWh električ</w:t>
      </w:r>
      <w:r>
        <w:rPr>
          <w:lang w:eastAsia="sl-SI"/>
        </w:rPr>
        <w:t>ne energije na leto, kar znaša 5</w:t>
      </w:r>
      <w:r w:rsidR="00735D25">
        <w:rPr>
          <w:lang w:eastAsia="sl-SI"/>
        </w:rPr>
        <w:t>6,</w:t>
      </w:r>
      <w:r>
        <w:rPr>
          <w:lang w:eastAsia="sl-SI"/>
        </w:rPr>
        <w:t>5 kWh/leto/prebivalca in presega ciljno vrednost</w:t>
      </w:r>
      <w:r w:rsidR="00735D25">
        <w:rPr>
          <w:lang w:eastAsia="sl-SI"/>
        </w:rPr>
        <w:t xml:space="preserve"> 44,5 kWh/leto/prebivalca</w:t>
      </w:r>
      <w:r>
        <w:rPr>
          <w:lang w:eastAsia="sl-SI"/>
        </w:rPr>
        <w:t>, ki je določena z Uredbo o mejnih vrednostih svetlobnega onesnaževanja</w:t>
      </w:r>
      <w:r w:rsidR="00735D25">
        <w:rPr>
          <w:lang w:eastAsia="sl-SI"/>
        </w:rPr>
        <w:t xml:space="preserve">. </w:t>
      </w:r>
      <w:r>
        <w:t>Občina ima izdelan</w:t>
      </w:r>
      <w:r w:rsidR="00735D25" w:rsidRPr="0047627C">
        <w:t xml:space="preserve"> načrta javne razsvetljave</w:t>
      </w:r>
      <w:r>
        <w:t>, v katerem je opredeljen načrt zamenjave neustreznih svetilk, ki mora biti po Uredbi izveden do 31.12.2016</w:t>
      </w:r>
      <w:r w:rsidR="00735D25" w:rsidRPr="0047627C">
        <w:t>.</w:t>
      </w:r>
    </w:p>
    <w:p w14:paraId="2A7FB0CC" w14:textId="77777777" w:rsidR="00735D25" w:rsidRDefault="00735D25" w:rsidP="00735D25">
      <w:pPr>
        <w:jc w:val="both"/>
        <w:rPr>
          <w:lang w:eastAsia="sl-SI"/>
        </w:rPr>
      </w:pPr>
      <w:r>
        <w:rPr>
          <w:lang w:eastAsia="sl-SI"/>
        </w:rPr>
        <w:t>V občini ni sistema daljinskega ogrevanja, prav tako ni</w:t>
      </w:r>
      <w:r w:rsidR="00665F01">
        <w:rPr>
          <w:lang w:eastAsia="sl-SI"/>
        </w:rPr>
        <w:t xml:space="preserve"> distribucijskega</w:t>
      </w:r>
      <w:r>
        <w:rPr>
          <w:lang w:eastAsia="sl-SI"/>
        </w:rPr>
        <w:t xml:space="preserve"> plinovodnega omrežja</w:t>
      </w:r>
      <w:r w:rsidR="00665F01">
        <w:rPr>
          <w:lang w:eastAsia="sl-SI"/>
        </w:rPr>
        <w:t>, kljub temu, da čez ozemlje občine poteka prenosni plinovod</w:t>
      </w:r>
      <w:r>
        <w:rPr>
          <w:lang w:eastAsia="sl-SI"/>
        </w:rPr>
        <w:t xml:space="preserve">. </w:t>
      </w:r>
    </w:p>
    <w:p w14:paraId="2A7FB0CD" w14:textId="77777777" w:rsidR="00735D25" w:rsidRDefault="00735D25" w:rsidP="00735D25">
      <w:pPr>
        <w:jc w:val="both"/>
        <w:rPr>
          <w:lang w:eastAsia="sl-SI"/>
        </w:rPr>
      </w:pPr>
      <w:r>
        <w:rPr>
          <w:lang w:eastAsia="sl-SI"/>
        </w:rPr>
        <w:t>Poraba energentov po</w:t>
      </w:r>
      <w:r w:rsidR="00665F01">
        <w:rPr>
          <w:lang w:eastAsia="sl-SI"/>
        </w:rPr>
        <w:t>vzroča emisije različnih plinov</w:t>
      </w:r>
      <w:r>
        <w:rPr>
          <w:lang w:eastAsia="sl-SI"/>
        </w:rPr>
        <w:t xml:space="preserve">. </w:t>
      </w:r>
      <w:r w:rsidR="00665F01">
        <w:rPr>
          <w:lang w:eastAsia="sl-SI"/>
        </w:rPr>
        <w:t>Velik delež emisij prispevajo Goriške opekarne kot največji porabnik v občini. Zato pri povzročiteljih emisij CO</w:t>
      </w:r>
      <w:r w:rsidR="00665F01" w:rsidRPr="00796DC3">
        <w:rPr>
          <w:vertAlign w:val="subscript"/>
          <w:lang w:eastAsia="sl-SI"/>
        </w:rPr>
        <w:t>2</w:t>
      </w:r>
      <w:r w:rsidR="00665F01">
        <w:rPr>
          <w:lang w:eastAsia="sl-SI"/>
        </w:rPr>
        <w:t xml:space="preserve"> prevladuje zemeljski plin. Velik delež emisij CO nastaja pri ogrevanju stanovanj z lesom, predvsem zaradi zastarelih ogrevalnih sistemov. </w:t>
      </w:r>
      <w:r w:rsidR="00796DC3">
        <w:rPr>
          <w:lang w:eastAsia="sl-SI"/>
        </w:rPr>
        <w:t>Visoka poraba električne energije prav tako povzroča emisije več vrst onesnaževal, ki pa ne nastajajo na območju občine, temveč na izvoru proizvodnje električne energije.</w:t>
      </w:r>
    </w:p>
    <w:p w14:paraId="2A7FB0CE" w14:textId="77777777" w:rsidR="00735D25" w:rsidRPr="00A574B9" w:rsidRDefault="00665F01" w:rsidP="00735D25">
      <w:pPr>
        <w:pStyle w:val="Brezrazmikov"/>
        <w:jc w:val="center"/>
      </w:pPr>
      <w:r>
        <w:rPr>
          <w:noProof/>
          <w:lang w:eastAsia="sl-SI"/>
        </w:rPr>
        <w:drawing>
          <wp:inline distT="0" distB="0" distL="0" distR="0" wp14:anchorId="2A7FB155" wp14:editId="2A7FB156">
            <wp:extent cx="4457700" cy="2600325"/>
            <wp:effectExtent l="0" t="0" r="19050" b="9525"/>
            <wp:docPr id="2" name="Grafikon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7FB0CF" w14:textId="77777777" w:rsidR="00735D25" w:rsidRPr="00D44BA8" w:rsidRDefault="00735D25" w:rsidP="00735D25">
      <w:pPr>
        <w:jc w:val="center"/>
        <w:rPr>
          <w:bCs/>
          <w:color w:val="4F81BD"/>
          <w:sz w:val="18"/>
          <w:szCs w:val="18"/>
          <w:lang w:val="x-none"/>
        </w:rPr>
      </w:pPr>
      <w:bookmarkStart w:id="3" w:name="_Toc319996166"/>
      <w:r w:rsidRPr="00D44BA8">
        <w:rPr>
          <w:bCs/>
          <w:color w:val="4F81BD"/>
          <w:sz w:val="18"/>
          <w:szCs w:val="18"/>
          <w:lang w:val="x-none"/>
        </w:rPr>
        <w:t xml:space="preserve">Slika </w:t>
      </w:r>
      <w:r w:rsidRPr="00D44BA8">
        <w:rPr>
          <w:bCs/>
          <w:color w:val="4F81BD"/>
          <w:sz w:val="18"/>
          <w:szCs w:val="18"/>
          <w:lang w:val="x-none"/>
        </w:rPr>
        <w:fldChar w:fldCharType="begin"/>
      </w:r>
      <w:r w:rsidRPr="00D44BA8">
        <w:rPr>
          <w:bCs/>
          <w:color w:val="4F81BD"/>
          <w:sz w:val="18"/>
          <w:szCs w:val="18"/>
          <w:lang w:val="x-none"/>
        </w:rPr>
        <w:instrText xml:space="preserve"> SEQ Slika \* ARABIC </w:instrText>
      </w:r>
      <w:r w:rsidRPr="00D44BA8">
        <w:rPr>
          <w:bCs/>
          <w:color w:val="4F81BD"/>
          <w:sz w:val="18"/>
          <w:szCs w:val="18"/>
          <w:lang w:val="x-none"/>
        </w:rPr>
        <w:fldChar w:fldCharType="separate"/>
      </w:r>
      <w:r w:rsidR="008D2D22">
        <w:rPr>
          <w:bCs/>
          <w:noProof/>
          <w:color w:val="4F81BD"/>
          <w:sz w:val="18"/>
          <w:szCs w:val="18"/>
          <w:lang w:val="x-none"/>
        </w:rPr>
        <w:t>1</w:t>
      </w:r>
      <w:r w:rsidRPr="00D44BA8">
        <w:rPr>
          <w:bCs/>
          <w:color w:val="4F81BD"/>
          <w:sz w:val="18"/>
          <w:szCs w:val="18"/>
          <w:lang w:val="x-none"/>
        </w:rPr>
        <w:fldChar w:fldCharType="end"/>
      </w:r>
      <w:r w:rsidRPr="00D44BA8">
        <w:rPr>
          <w:bCs/>
          <w:color w:val="4F81BD"/>
          <w:sz w:val="18"/>
          <w:szCs w:val="18"/>
          <w:lang w:val="x-none"/>
        </w:rPr>
        <w:t xml:space="preserve">: Primerjava letne količine emisij posameznih onesnaževal v občini </w:t>
      </w:r>
      <w:r w:rsidR="00665F01">
        <w:rPr>
          <w:bCs/>
          <w:color w:val="4F81BD"/>
          <w:sz w:val="18"/>
          <w:szCs w:val="18"/>
        </w:rPr>
        <w:t>Renče-Vogrsko</w:t>
      </w:r>
      <w:r w:rsidRPr="00D44BA8">
        <w:rPr>
          <w:bCs/>
          <w:color w:val="4F81BD"/>
          <w:sz w:val="18"/>
          <w:szCs w:val="18"/>
          <w:lang w:val="x-none"/>
        </w:rPr>
        <w:t xml:space="preserve"> </w:t>
      </w:r>
      <w:bookmarkEnd w:id="3"/>
    </w:p>
    <w:p w14:paraId="2A7FB0D0" w14:textId="77777777" w:rsidR="00735D25" w:rsidRDefault="00735D25" w:rsidP="00735D25">
      <w:pPr>
        <w:pStyle w:val="Naslov1"/>
      </w:pPr>
      <w:r>
        <w:rPr>
          <w:lang w:val="sl-SI"/>
        </w:rPr>
        <w:t xml:space="preserve"> </w:t>
      </w:r>
      <w:bookmarkStart w:id="4" w:name="_Toc319996136"/>
      <w:r>
        <w:t>Potencial obnovljivih virov energije ter učinkovite rabe energije</w:t>
      </w:r>
      <w:bookmarkEnd w:id="4"/>
    </w:p>
    <w:p w14:paraId="2A7FB0D1" w14:textId="77777777" w:rsidR="00735D25" w:rsidRDefault="00735D25" w:rsidP="00735D25">
      <w:pPr>
        <w:jc w:val="both"/>
        <w:rPr>
          <w:lang w:eastAsia="sl-SI"/>
        </w:rPr>
      </w:pPr>
      <w:r>
        <w:rPr>
          <w:lang w:eastAsia="sl-SI"/>
        </w:rPr>
        <w:t xml:space="preserve">V občini je največji potencial za izkoriščanje </w:t>
      </w:r>
      <w:r w:rsidR="00796DC3">
        <w:rPr>
          <w:lang w:eastAsia="sl-SI"/>
        </w:rPr>
        <w:t>sončne energije,</w:t>
      </w:r>
      <w:r w:rsidR="00796DC3" w:rsidRPr="00796DC3">
        <w:rPr>
          <w:lang w:eastAsia="sl-SI"/>
        </w:rPr>
        <w:t xml:space="preserve"> </w:t>
      </w:r>
      <w:r w:rsidR="00796DC3">
        <w:rPr>
          <w:lang w:eastAsia="sl-SI"/>
        </w:rPr>
        <w:t>vendar predvsem kot dopolnilo drugim virov. Primerna je postavitev sončnih kolektorjev ter tudi fotovoltaičnih celic na strehe objektov.</w:t>
      </w:r>
    </w:p>
    <w:p w14:paraId="2A7FB0D2" w14:textId="77777777" w:rsidR="00735D25" w:rsidRDefault="00735D25" w:rsidP="00735D25">
      <w:pPr>
        <w:jc w:val="both"/>
        <w:rPr>
          <w:lang w:eastAsia="sl-SI"/>
        </w:rPr>
      </w:pPr>
      <w:r>
        <w:rPr>
          <w:lang w:eastAsia="sl-SI"/>
        </w:rPr>
        <w:t>Smiselno je tudi spodbujanje uporabe toplotnih črpalk, medtem ko izkoriščanje vetrne in vodne energije zaradi majhnega potenciala ni najbolj perspektivno.</w:t>
      </w:r>
      <w:r w:rsidR="00551F95">
        <w:rPr>
          <w:lang w:eastAsia="sl-SI"/>
        </w:rPr>
        <w:t xml:space="preserve"> </w:t>
      </w:r>
    </w:p>
    <w:p w14:paraId="2A7FB0D3" w14:textId="77777777" w:rsidR="00796DC3" w:rsidRDefault="00796DC3" w:rsidP="00735D25">
      <w:pPr>
        <w:jc w:val="both"/>
        <w:rPr>
          <w:lang w:eastAsia="sl-SI"/>
        </w:rPr>
      </w:pPr>
      <w:r>
        <w:rPr>
          <w:lang w:eastAsia="sl-SI"/>
        </w:rPr>
        <w:t xml:space="preserve">Tudi potencial lesne biomase je majhen, saj je gozd že razmeroma dobro izkoriščen. </w:t>
      </w:r>
    </w:p>
    <w:p w14:paraId="2A7FB0D4" w14:textId="77777777" w:rsidR="00735D25" w:rsidRDefault="00735D25" w:rsidP="00735D25">
      <w:pPr>
        <w:jc w:val="both"/>
        <w:rPr>
          <w:lang w:eastAsia="sl-SI"/>
        </w:rPr>
      </w:pPr>
      <w:r>
        <w:rPr>
          <w:lang w:eastAsia="sl-SI"/>
        </w:rPr>
        <w:lastRenderedPageBreak/>
        <w:t xml:space="preserve">Največji potencial za </w:t>
      </w:r>
      <w:r w:rsidR="00796DC3">
        <w:rPr>
          <w:lang w:eastAsia="sl-SI"/>
        </w:rPr>
        <w:t>zmanjšanje rabe</w:t>
      </w:r>
      <w:r>
        <w:rPr>
          <w:lang w:eastAsia="sl-SI"/>
        </w:rPr>
        <w:t xml:space="preserve"> energije v stanovanjih je na področju ogrevanja. </w:t>
      </w:r>
      <w:r w:rsidR="00796DC3">
        <w:rPr>
          <w:lang w:eastAsia="sl-SI"/>
        </w:rPr>
        <w:t xml:space="preserve">Prihranki so možni predvsem z energetsko sanacijo stavb ter menjave ogrevalnih sistemov. </w:t>
      </w:r>
      <w:r>
        <w:rPr>
          <w:lang w:eastAsia="sl-SI"/>
        </w:rPr>
        <w:t xml:space="preserve">Ocenjen </w:t>
      </w:r>
      <w:r w:rsidR="00796DC3">
        <w:rPr>
          <w:lang w:eastAsia="sl-SI"/>
        </w:rPr>
        <w:t>je možen prihranek približno 7.6</w:t>
      </w:r>
      <w:r>
        <w:rPr>
          <w:lang w:eastAsia="sl-SI"/>
        </w:rPr>
        <w:t xml:space="preserve">00 MWh energije </w:t>
      </w:r>
      <w:r w:rsidR="00796DC3">
        <w:rPr>
          <w:lang w:eastAsia="sl-SI"/>
        </w:rPr>
        <w:t>letno, kar bi pomenilo</w:t>
      </w:r>
      <w:r w:rsidR="00642684">
        <w:rPr>
          <w:lang w:eastAsia="sl-SI"/>
        </w:rPr>
        <w:t xml:space="preserve"> zmanjšanje emisij za</w:t>
      </w:r>
      <w:r w:rsidR="00796DC3">
        <w:rPr>
          <w:lang w:eastAsia="sl-SI"/>
        </w:rPr>
        <w:t xml:space="preserve"> okoli 1.100</w:t>
      </w:r>
      <w:r>
        <w:rPr>
          <w:lang w:eastAsia="sl-SI"/>
        </w:rPr>
        <w:t xml:space="preserve"> t CO</w:t>
      </w:r>
      <w:r w:rsidRPr="003A3981">
        <w:rPr>
          <w:vertAlign w:val="subscript"/>
          <w:lang w:eastAsia="sl-SI"/>
        </w:rPr>
        <w:t>2</w:t>
      </w:r>
      <w:r>
        <w:rPr>
          <w:lang w:eastAsia="sl-SI"/>
        </w:rPr>
        <w:t xml:space="preserve">. </w:t>
      </w:r>
    </w:p>
    <w:p w14:paraId="2A7FB0D5" w14:textId="77777777" w:rsidR="00735D25" w:rsidRDefault="00735D25" w:rsidP="00735D25">
      <w:pPr>
        <w:jc w:val="both"/>
        <w:rPr>
          <w:lang w:eastAsia="sl-SI"/>
        </w:rPr>
      </w:pPr>
      <w:r>
        <w:rPr>
          <w:lang w:eastAsia="sl-SI"/>
        </w:rPr>
        <w:t xml:space="preserve">V javnih stavbah je </w:t>
      </w:r>
      <w:r w:rsidR="00796DC3">
        <w:rPr>
          <w:lang w:eastAsia="sl-SI"/>
        </w:rPr>
        <w:t>prioritetna predvsem energetska sanacija in menjava ogrevalnega sistema v OŠ Renče ter tudi PŠ Bukovica. Pomembno je tudi zmanjšanje porabe električne energije v javnih stavbah.</w:t>
      </w:r>
      <w:r>
        <w:rPr>
          <w:lang w:eastAsia="sl-SI"/>
        </w:rPr>
        <w:t xml:space="preserve"> </w:t>
      </w:r>
    </w:p>
    <w:p w14:paraId="2A7FB0D6" w14:textId="77777777" w:rsidR="00735D25" w:rsidRDefault="00735D25" w:rsidP="00735D25">
      <w:pPr>
        <w:pStyle w:val="Naslov1"/>
      </w:pPr>
      <w:r>
        <w:rPr>
          <w:lang w:val="sl-SI"/>
        </w:rPr>
        <w:t xml:space="preserve"> </w:t>
      </w:r>
      <w:bookmarkStart w:id="5" w:name="_Toc319996137"/>
      <w:r>
        <w:t>Cilji in ukrepi LEK</w:t>
      </w:r>
      <w:bookmarkEnd w:id="5"/>
    </w:p>
    <w:p w14:paraId="2A7FB0D7" w14:textId="77777777" w:rsidR="00735D25" w:rsidRDefault="00735D25" w:rsidP="00735D25">
      <w:pPr>
        <w:jc w:val="both"/>
        <w:rPr>
          <w:lang w:eastAsia="sl-SI"/>
        </w:rPr>
      </w:pPr>
      <w:r>
        <w:rPr>
          <w:lang w:eastAsia="sl-SI"/>
        </w:rPr>
        <w:t xml:space="preserve">Cilji LEK občine </w:t>
      </w:r>
      <w:r w:rsidR="00796DC3">
        <w:rPr>
          <w:lang w:eastAsia="sl-SI"/>
        </w:rPr>
        <w:t>Renče-Vogrsko</w:t>
      </w:r>
      <w:r>
        <w:rPr>
          <w:lang w:eastAsia="sl-SI"/>
        </w:rPr>
        <w:t xml:space="preserve"> so bili določeni upoštevajoč nacionalne cilje ter dejansko stanje in zmožnosti na območju občine. Opredeljenih je 5 </w:t>
      </w:r>
      <w:r w:rsidR="00796DC3">
        <w:rPr>
          <w:lang w:eastAsia="sl-SI"/>
        </w:rPr>
        <w:t>strateški</w:t>
      </w:r>
      <w:r w:rsidR="00642684">
        <w:rPr>
          <w:lang w:eastAsia="sl-SI"/>
        </w:rPr>
        <w:t>h</w:t>
      </w:r>
      <w:r w:rsidR="00796DC3">
        <w:rPr>
          <w:lang w:eastAsia="sl-SI"/>
        </w:rPr>
        <w:t xml:space="preserve"> </w:t>
      </w:r>
      <w:r>
        <w:rPr>
          <w:lang w:eastAsia="sl-SI"/>
        </w:rPr>
        <w:t>ciljev</w:t>
      </w:r>
      <w:r w:rsidR="00796DC3">
        <w:rPr>
          <w:lang w:eastAsia="sl-SI"/>
        </w:rPr>
        <w:t xml:space="preserve"> ter dodatno več specifičnih ciljev</w:t>
      </w:r>
      <w:r>
        <w:rPr>
          <w:lang w:eastAsia="sl-SI"/>
        </w:rPr>
        <w:t>:</w:t>
      </w:r>
    </w:p>
    <w:p w14:paraId="2A7FB0D8" w14:textId="77777777" w:rsidR="00796DC3" w:rsidRPr="004D5C01" w:rsidRDefault="00796DC3" w:rsidP="00796DC3">
      <w:pPr>
        <w:pStyle w:val="Napis"/>
        <w:rPr>
          <w:lang w:val="sl-SI" w:eastAsia="x-none"/>
        </w:rPr>
      </w:pPr>
      <w:bookmarkStart w:id="6" w:name="_Toc319996190"/>
      <w:r>
        <w:t xml:space="preserve">Tabela </w:t>
      </w:r>
      <w:fldSimple w:instr=" SEQ Tabela \* ARABIC ">
        <w:r>
          <w:rPr>
            <w:noProof/>
          </w:rPr>
          <w:t>1</w:t>
        </w:r>
      </w:fldSimple>
      <w:r>
        <w:rPr>
          <w:lang w:val="sl-SI"/>
        </w:rPr>
        <w:t xml:space="preserve">: Cilji LEK Občine </w:t>
      </w:r>
      <w:bookmarkEnd w:id="6"/>
      <w:r>
        <w:rPr>
          <w:lang w:val="sl-SI"/>
        </w:rPr>
        <w:t>Renče-Vogrsko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8"/>
        <w:gridCol w:w="4252"/>
      </w:tblGrid>
      <w:tr w:rsidR="00796DC3" w14:paraId="2A7FB0DC" w14:textId="77777777" w:rsidTr="00796DC3">
        <w:tc>
          <w:tcPr>
            <w:tcW w:w="3510" w:type="dxa"/>
            <w:shd w:val="clear" w:color="auto" w:fill="auto"/>
          </w:tcPr>
          <w:p w14:paraId="2A7FB0D9" w14:textId="77777777" w:rsidR="00796DC3" w:rsidRPr="00ED431E" w:rsidRDefault="00796DC3" w:rsidP="00796DC3">
            <w:pPr>
              <w:rPr>
                <w:b/>
                <w:lang w:eastAsia="x-none"/>
              </w:rPr>
            </w:pPr>
            <w:r>
              <w:rPr>
                <w:b/>
                <w:lang w:eastAsia="x-none"/>
              </w:rPr>
              <w:t>Strateški c</w:t>
            </w:r>
            <w:r w:rsidRPr="00ED431E">
              <w:rPr>
                <w:b/>
                <w:lang w:eastAsia="x-none"/>
              </w:rPr>
              <w:t>ilj</w:t>
            </w:r>
          </w:p>
        </w:tc>
        <w:tc>
          <w:tcPr>
            <w:tcW w:w="1418" w:type="dxa"/>
          </w:tcPr>
          <w:p w14:paraId="2A7FB0DA" w14:textId="77777777" w:rsidR="00796DC3" w:rsidRPr="00ED431E" w:rsidRDefault="00796DC3" w:rsidP="00796DC3">
            <w:pPr>
              <w:rPr>
                <w:b/>
                <w:lang w:eastAsia="x-none"/>
              </w:rPr>
            </w:pPr>
            <w:r w:rsidRPr="00ED431E">
              <w:rPr>
                <w:b/>
                <w:lang w:eastAsia="x-none"/>
              </w:rPr>
              <w:t>Oznaka cilja</w:t>
            </w:r>
          </w:p>
        </w:tc>
        <w:tc>
          <w:tcPr>
            <w:tcW w:w="4252" w:type="dxa"/>
            <w:shd w:val="clear" w:color="auto" w:fill="auto"/>
          </w:tcPr>
          <w:p w14:paraId="2A7FB0DB" w14:textId="77777777" w:rsidR="00796DC3" w:rsidRPr="00ED431E" w:rsidRDefault="00796DC3" w:rsidP="00796DC3">
            <w:pPr>
              <w:rPr>
                <w:b/>
                <w:lang w:eastAsia="x-none"/>
              </w:rPr>
            </w:pPr>
            <w:r w:rsidRPr="00ED431E">
              <w:rPr>
                <w:b/>
                <w:lang w:eastAsia="x-none"/>
              </w:rPr>
              <w:t xml:space="preserve">Specifični </w:t>
            </w:r>
            <w:r>
              <w:rPr>
                <w:b/>
                <w:lang w:eastAsia="x-none"/>
              </w:rPr>
              <w:t>cilji</w:t>
            </w:r>
          </w:p>
        </w:tc>
      </w:tr>
      <w:tr w:rsidR="00796DC3" w14:paraId="2A7FB0E0" w14:textId="77777777" w:rsidTr="00796DC3">
        <w:tc>
          <w:tcPr>
            <w:tcW w:w="3510" w:type="dxa"/>
            <w:shd w:val="clear" w:color="auto" w:fill="auto"/>
            <w:vAlign w:val="center"/>
          </w:tcPr>
          <w:p w14:paraId="2A7FB0DD" w14:textId="77777777" w:rsidR="00796DC3" w:rsidRDefault="00796DC3" w:rsidP="00796DC3">
            <w:pPr>
              <w:rPr>
                <w:lang w:eastAsia="x-none"/>
              </w:rPr>
            </w:pPr>
            <w:r>
              <w:rPr>
                <w:lang w:eastAsia="x-none"/>
              </w:rPr>
              <w:t>V</w:t>
            </w:r>
            <w:r w:rsidRPr="00181F0C">
              <w:rPr>
                <w:lang w:eastAsia="x-none"/>
              </w:rPr>
              <w:t>zpostavitev celostnega delovanja in dobrega gospodarjenja na področju energetike</w:t>
            </w:r>
          </w:p>
        </w:tc>
        <w:tc>
          <w:tcPr>
            <w:tcW w:w="1418" w:type="dxa"/>
            <w:vAlign w:val="center"/>
          </w:tcPr>
          <w:p w14:paraId="2A7FB0DE" w14:textId="77777777" w:rsidR="00796DC3" w:rsidRPr="00ED431E" w:rsidRDefault="00796DC3" w:rsidP="00796DC3">
            <w:pPr>
              <w:jc w:val="center"/>
              <w:rPr>
                <w:b/>
                <w:i/>
                <w:lang w:eastAsia="x-none"/>
              </w:rPr>
            </w:pPr>
            <w:r w:rsidRPr="00ED431E">
              <w:rPr>
                <w:b/>
                <w:i/>
                <w:lang w:eastAsia="x-none"/>
              </w:rPr>
              <w:t>1</w:t>
            </w:r>
          </w:p>
        </w:tc>
        <w:tc>
          <w:tcPr>
            <w:tcW w:w="4252" w:type="dxa"/>
            <w:shd w:val="clear" w:color="auto" w:fill="auto"/>
          </w:tcPr>
          <w:p w14:paraId="2A7FB0DF" w14:textId="77777777" w:rsidR="00796DC3" w:rsidRDefault="00796DC3" w:rsidP="00796DC3">
            <w:pPr>
              <w:rPr>
                <w:lang w:eastAsia="x-none"/>
              </w:rPr>
            </w:pPr>
            <w:r>
              <w:rPr>
                <w:lang w:eastAsia="x-none"/>
              </w:rPr>
              <w:t>Izvajanje postopkov občinskih delovnih teles v skladu z energetsko politiko občine</w:t>
            </w:r>
          </w:p>
        </w:tc>
      </w:tr>
      <w:tr w:rsidR="00796DC3" w14:paraId="2A7FB0E4" w14:textId="77777777" w:rsidTr="00796DC3">
        <w:tc>
          <w:tcPr>
            <w:tcW w:w="3510" w:type="dxa"/>
            <w:vMerge w:val="restart"/>
            <w:shd w:val="clear" w:color="auto" w:fill="auto"/>
            <w:vAlign w:val="center"/>
          </w:tcPr>
          <w:p w14:paraId="2A7FB0E1" w14:textId="77777777" w:rsidR="00796DC3" w:rsidRDefault="00796DC3" w:rsidP="00796DC3">
            <w:pPr>
              <w:rPr>
                <w:lang w:eastAsia="x-none"/>
              </w:rPr>
            </w:pPr>
            <w:r>
              <w:rPr>
                <w:lang w:eastAsia="x-none"/>
              </w:rPr>
              <w:t>P</w:t>
            </w:r>
            <w:r w:rsidRPr="006B1761">
              <w:rPr>
                <w:lang w:eastAsia="x-none"/>
              </w:rPr>
              <w:t>ovečanje ozaveščenosti o rabi energije</w:t>
            </w:r>
          </w:p>
        </w:tc>
        <w:tc>
          <w:tcPr>
            <w:tcW w:w="1418" w:type="dxa"/>
            <w:vAlign w:val="center"/>
          </w:tcPr>
          <w:p w14:paraId="2A7FB0E2" w14:textId="77777777" w:rsidR="00796DC3" w:rsidRPr="00ED431E" w:rsidRDefault="00796DC3" w:rsidP="00796DC3">
            <w:pPr>
              <w:jc w:val="center"/>
              <w:rPr>
                <w:b/>
                <w:i/>
                <w:lang w:eastAsia="x-none"/>
              </w:rPr>
            </w:pPr>
            <w:r w:rsidRPr="00ED431E">
              <w:rPr>
                <w:b/>
                <w:i/>
                <w:lang w:eastAsia="x-none"/>
              </w:rPr>
              <w:t>2</w:t>
            </w:r>
          </w:p>
        </w:tc>
        <w:tc>
          <w:tcPr>
            <w:tcW w:w="4252" w:type="dxa"/>
            <w:shd w:val="clear" w:color="auto" w:fill="auto"/>
          </w:tcPr>
          <w:p w14:paraId="2A7FB0E3" w14:textId="77777777" w:rsidR="00796DC3" w:rsidRDefault="00796DC3" w:rsidP="00796DC3">
            <w:pPr>
              <w:rPr>
                <w:lang w:eastAsia="x-none"/>
              </w:rPr>
            </w:pPr>
            <w:r>
              <w:rPr>
                <w:lang w:eastAsia="x-none"/>
              </w:rPr>
              <w:t>I</w:t>
            </w:r>
            <w:r w:rsidRPr="006B1761">
              <w:rPr>
                <w:lang w:eastAsia="x-none"/>
              </w:rPr>
              <w:t>zvedba primerov dobre prakse</w:t>
            </w:r>
          </w:p>
        </w:tc>
      </w:tr>
      <w:tr w:rsidR="00796DC3" w14:paraId="2A7FB0E8" w14:textId="77777777" w:rsidTr="00796DC3">
        <w:tc>
          <w:tcPr>
            <w:tcW w:w="3510" w:type="dxa"/>
            <w:vMerge/>
            <w:shd w:val="clear" w:color="auto" w:fill="auto"/>
            <w:vAlign w:val="center"/>
          </w:tcPr>
          <w:p w14:paraId="2A7FB0E5" w14:textId="77777777" w:rsidR="00796DC3" w:rsidRDefault="00796DC3" w:rsidP="00796DC3">
            <w:pPr>
              <w:rPr>
                <w:lang w:eastAsia="x-none"/>
              </w:rPr>
            </w:pPr>
          </w:p>
        </w:tc>
        <w:tc>
          <w:tcPr>
            <w:tcW w:w="1418" w:type="dxa"/>
            <w:vAlign w:val="center"/>
          </w:tcPr>
          <w:p w14:paraId="2A7FB0E6" w14:textId="77777777" w:rsidR="00796DC3" w:rsidRPr="00ED431E" w:rsidRDefault="00796DC3" w:rsidP="00796DC3">
            <w:pPr>
              <w:jc w:val="center"/>
              <w:rPr>
                <w:b/>
                <w:i/>
                <w:lang w:eastAsia="x-none"/>
              </w:rPr>
            </w:pPr>
            <w:r>
              <w:rPr>
                <w:b/>
                <w:i/>
                <w:lang w:eastAsia="x-none"/>
              </w:rPr>
              <w:t>3</w:t>
            </w:r>
          </w:p>
        </w:tc>
        <w:tc>
          <w:tcPr>
            <w:tcW w:w="4252" w:type="dxa"/>
            <w:shd w:val="clear" w:color="auto" w:fill="auto"/>
          </w:tcPr>
          <w:p w14:paraId="2A7FB0E7" w14:textId="77777777" w:rsidR="00796DC3" w:rsidRDefault="00796DC3" w:rsidP="00796DC3">
            <w:pPr>
              <w:rPr>
                <w:lang w:eastAsia="x-none"/>
              </w:rPr>
            </w:pPr>
            <w:r>
              <w:rPr>
                <w:lang w:eastAsia="x-none"/>
              </w:rPr>
              <w:t>P</w:t>
            </w:r>
            <w:r w:rsidRPr="006B1761">
              <w:rPr>
                <w:lang w:eastAsia="x-none"/>
              </w:rPr>
              <w:t>ovečanje ozaveščenosti občanov</w:t>
            </w:r>
          </w:p>
        </w:tc>
      </w:tr>
      <w:tr w:rsidR="00796DC3" w14:paraId="2A7FB0EC" w14:textId="77777777" w:rsidTr="00796DC3">
        <w:tc>
          <w:tcPr>
            <w:tcW w:w="3510" w:type="dxa"/>
            <w:vMerge/>
            <w:shd w:val="clear" w:color="auto" w:fill="auto"/>
            <w:vAlign w:val="center"/>
          </w:tcPr>
          <w:p w14:paraId="2A7FB0E9" w14:textId="77777777" w:rsidR="00796DC3" w:rsidRDefault="00796DC3" w:rsidP="00796DC3">
            <w:pPr>
              <w:rPr>
                <w:lang w:eastAsia="x-none"/>
              </w:rPr>
            </w:pPr>
          </w:p>
        </w:tc>
        <w:tc>
          <w:tcPr>
            <w:tcW w:w="1418" w:type="dxa"/>
            <w:vAlign w:val="center"/>
          </w:tcPr>
          <w:p w14:paraId="2A7FB0EA" w14:textId="77777777" w:rsidR="00796DC3" w:rsidRPr="00ED431E" w:rsidRDefault="00796DC3" w:rsidP="00796DC3">
            <w:pPr>
              <w:jc w:val="center"/>
              <w:rPr>
                <w:b/>
                <w:i/>
                <w:lang w:eastAsia="x-none"/>
              </w:rPr>
            </w:pPr>
            <w:r>
              <w:rPr>
                <w:b/>
                <w:i/>
                <w:lang w:eastAsia="x-none"/>
              </w:rPr>
              <w:t>4</w:t>
            </w:r>
          </w:p>
        </w:tc>
        <w:tc>
          <w:tcPr>
            <w:tcW w:w="4252" w:type="dxa"/>
            <w:shd w:val="clear" w:color="auto" w:fill="auto"/>
          </w:tcPr>
          <w:p w14:paraId="2A7FB0EB" w14:textId="77777777" w:rsidR="00796DC3" w:rsidRDefault="00796DC3" w:rsidP="00796DC3">
            <w:pPr>
              <w:rPr>
                <w:lang w:eastAsia="x-none"/>
              </w:rPr>
            </w:pPr>
            <w:r>
              <w:rPr>
                <w:lang w:eastAsia="x-none"/>
              </w:rPr>
              <w:t>P</w:t>
            </w:r>
            <w:r w:rsidRPr="006B1761">
              <w:rPr>
                <w:lang w:eastAsia="x-none"/>
              </w:rPr>
              <w:t>ovečanje usposobljenosti zaposlenih v javnih stavbah</w:t>
            </w:r>
          </w:p>
        </w:tc>
      </w:tr>
      <w:tr w:rsidR="00796DC3" w14:paraId="2A7FB0F0" w14:textId="77777777" w:rsidTr="00796DC3">
        <w:trPr>
          <w:trHeight w:val="807"/>
        </w:trPr>
        <w:tc>
          <w:tcPr>
            <w:tcW w:w="3510" w:type="dxa"/>
            <w:vMerge w:val="restart"/>
            <w:shd w:val="clear" w:color="auto" w:fill="auto"/>
            <w:vAlign w:val="center"/>
          </w:tcPr>
          <w:p w14:paraId="2A7FB0ED" w14:textId="77777777" w:rsidR="00796DC3" w:rsidRDefault="00796DC3" w:rsidP="00796DC3">
            <w:pPr>
              <w:rPr>
                <w:lang w:eastAsia="x-none"/>
              </w:rPr>
            </w:pPr>
            <w:r>
              <w:rPr>
                <w:lang w:eastAsia="x-none"/>
              </w:rPr>
              <w:t>P</w:t>
            </w:r>
            <w:r w:rsidRPr="00181F0C">
              <w:rPr>
                <w:lang w:eastAsia="x-none"/>
              </w:rPr>
              <w:t>ovečanje deleža obnovljivih virov ene</w:t>
            </w:r>
            <w:r>
              <w:rPr>
                <w:lang w:eastAsia="x-none"/>
              </w:rPr>
              <w:t>rgije v končni porabi za vsaj 10</w:t>
            </w:r>
            <w:r w:rsidRPr="00C01295">
              <w:rPr>
                <w:lang w:eastAsia="x-none"/>
              </w:rPr>
              <w:t>%</w:t>
            </w:r>
            <w:r>
              <w:rPr>
                <w:lang w:eastAsia="x-none"/>
              </w:rPr>
              <w:t xml:space="preserve"> do leta 2020 glede na leto 2010</w:t>
            </w:r>
          </w:p>
        </w:tc>
        <w:tc>
          <w:tcPr>
            <w:tcW w:w="1418" w:type="dxa"/>
            <w:vAlign w:val="center"/>
          </w:tcPr>
          <w:p w14:paraId="2A7FB0EE" w14:textId="77777777" w:rsidR="00796DC3" w:rsidRPr="00ED431E" w:rsidRDefault="00796DC3" w:rsidP="00796DC3">
            <w:pPr>
              <w:jc w:val="center"/>
              <w:rPr>
                <w:b/>
                <w:i/>
                <w:lang w:eastAsia="x-none"/>
              </w:rPr>
            </w:pPr>
            <w:r>
              <w:rPr>
                <w:b/>
                <w:i/>
                <w:lang w:eastAsia="x-none"/>
              </w:rPr>
              <w:t>5</w:t>
            </w:r>
          </w:p>
        </w:tc>
        <w:tc>
          <w:tcPr>
            <w:tcW w:w="4252" w:type="dxa"/>
            <w:shd w:val="clear" w:color="auto" w:fill="auto"/>
          </w:tcPr>
          <w:p w14:paraId="2A7FB0EF" w14:textId="77777777" w:rsidR="00796DC3" w:rsidRDefault="00796DC3" w:rsidP="00796DC3">
            <w:pPr>
              <w:rPr>
                <w:lang w:eastAsia="x-none"/>
              </w:rPr>
            </w:pPr>
            <w:r>
              <w:rPr>
                <w:lang w:eastAsia="x-none"/>
              </w:rPr>
              <w:t>P</w:t>
            </w:r>
            <w:r w:rsidRPr="00181F0C">
              <w:rPr>
                <w:lang w:eastAsia="x-none"/>
              </w:rPr>
              <w:t xml:space="preserve">ovečanje deleža OVE v gospodinjstvih za </w:t>
            </w:r>
            <w:r>
              <w:rPr>
                <w:lang w:eastAsia="x-none"/>
              </w:rPr>
              <w:t>10</w:t>
            </w:r>
            <w:r w:rsidRPr="002020F3">
              <w:rPr>
                <w:lang w:eastAsia="x-none"/>
              </w:rPr>
              <w:t>%</w:t>
            </w:r>
          </w:p>
        </w:tc>
      </w:tr>
      <w:tr w:rsidR="00796DC3" w14:paraId="2A7FB0F4" w14:textId="77777777" w:rsidTr="00796DC3">
        <w:trPr>
          <w:trHeight w:val="691"/>
        </w:trPr>
        <w:tc>
          <w:tcPr>
            <w:tcW w:w="3510" w:type="dxa"/>
            <w:vMerge/>
            <w:shd w:val="clear" w:color="auto" w:fill="auto"/>
            <w:vAlign w:val="center"/>
          </w:tcPr>
          <w:p w14:paraId="2A7FB0F1" w14:textId="77777777" w:rsidR="00796DC3" w:rsidRDefault="00796DC3" w:rsidP="00796DC3">
            <w:pPr>
              <w:rPr>
                <w:lang w:eastAsia="x-none"/>
              </w:rPr>
            </w:pPr>
          </w:p>
        </w:tc>
        <w:tc>
          <w:tcPr>
            <w:tcW w:w="1418" w:type="dxa"/>
            <w:vAlign w:val="center"/>
          </w:tcPr>
          <w:p w14:paraId="2A7FB0F2" w14:textId="77777777" w:rsidR="00796DC3" w:rsidRPr="00ED431E" w:rsidRDefault="00796DC3" w:rsidP="00796DC3">
            <w:pPr>
              <w:jc w:val="center"/>
              <w:rPr>
                <w:b/>
                <w:i/>
                <w:lang w:eastAsia="x-none"/>
              </w:rPr>
            </w:pPr>
            <w:r>
              <w:rPr>
                <w:b/>
                <w:i/>
                <w:lang w:eastAsia="x-none"/>
              </w:rPr>
              <w:t>6</w:t>
            </w:r>
          </w:p>
        </w:tc>
        <w:tc>
          <w:tcPr>
            <w:tcW w:w="4252" w:type="dxa"/>
            <w:shd w:val="clear" w:color="auto" w:fill="auto"/>
          </w:tcPr>
          <w:p w14:paraId="2A7FB0F3" w14:textId="77777777" w:rsidR="00796DC3" w:rsidRDefault="00796DC3" w:rsidP="00796DC3">
            <w:pPr>
              <w:rPr>
                <w:lang w:eastAsia="x-none"/>
              </w:rPr>
            </w:pPr>
            <w:r>
              <w:rPr>
                <w:lang w:eastAsia="x-none"/>
              </w:rPr>
              <w:t>P</w:t>
            </w:r>
            <w:r w:rsidRPr="00181F0C">
              <w:rPr>
                <w:lang w:eastAsia="x-none"/>
              </w:rPr>
              <w:t>ovečanje d</w:t>
            </w:r>
            <w:r>
              <w:rPr>
                <w:lang w:eastAsia="x-none"/>
              </w:rPr>
              <w:t xml:space="preserve">eleža OVE v javnih stavbah za </w:t>
            </w:r>
            <w:r w:rsidRPr="002020F3">
              <w:rPr>
                <w:lang w:eastAsia="x-none"/>
              </w:rPr>
              <w:t>60%</w:t>
            </w:r>
          </w:p>
        </w:tc>
      </w:tr>
      <w:tr w:rsidR="00796DC3" w14:paraId="2A7FB0F8" w14:textId="77777777" w:rsidTr="00796DC3">
        <w:trPr>
          <w:trHeight w:val="691"/>
        </w:trPr>
        <w:tc>
          <w:tcPr>
            <w:tcW w:w="3510" w:type="dxa"/>
            <w:vMerge w:val="restart"/>
            <w:shd w:val="clear" w:color="auto" w:fill="auto"/>
            <w:vAlign w:val="center"/>
          </w:tcPr>
          <w:p w14:paraId="2A7FB0F5" w14:textId="77777777" w:rsidR="00796DC3" w:rsidRDefault="00796DC3" w:rsidP="00796DC3">
            <w:pPr>
              <w:rPr>
                <w:lang w:eastAsia="x-none"/>
              </w:rPr>
            </w:pPr>
            <w:r>
              <w:rPr>
                <w:lang w:eastAsia="x-none"/>
              </w:rPr>
              <w:t>P</w:t>
            </w:r>
            <w:r w:rsidRPr="00181F0C">
              <w:rPr>
                <w:lang w:eastAsia="x-none"/>
              </w:rPr>
              <w:t>ovečanje učinkovite rabe energije</w:t>
            </w:r>
            <w:r>
              <w:rPr>
                <w:lang w:eastAsia="x-none"/>
              </w:rPr>
              <w:t xml:space="preserve"> z zmanjšanjem porabe za vsaj 15</w:t>
            </w:r>
            <w:r w:rsidRPr="00C01295">
              <w:rPr>
                <w:lang w:eastAsia="x-none"/>
              </w:rPr>
              <w:t>%</w:t>
            </w:r>
            <w:r w:rsidRPr="00181F0C">
              <w:rPr>
                <w:lang w:eastAsia="x-none"/>
              </w:rPr>
              <w:t xml:space="preserve"> </w:t>
            </w:r>
            <w:r>
              <w:rPr>
                <w:lang w:eastAsia="x-none"/>
              </w:rPr>
              <w:t>do leta 2020 glede na leto 2010</w:t>
            </w:r>
          </w:p>
        </w:tc>
        <w:tc>
          <w:tcPr>
            <w:tcW w:w="1418" w:type="dxa"/>
            <w:vAlign w:val="center"/>
          </w:tcPr>
          <w:p w14:paraId="2A7FB0F6" w14:textId="77777777" w:rsidR="00796DC3" w:rsidRPr="00ED431E" w:rsidRDefault="00796DC3" w:rsidP="00796DC3">
            <w:pPr>
              <w:jc w:val="center"/>
              <w:rPr>
                <w:b/>
                <w:i/>
                <w:lang w:eastAsia="x-none"/>
              </w:rPr>
            </w:pPr>
            <w:r>
              <w:rPr>
                <w:b/>
                <w:i/>
                <w:lang w:eastAsia="x-none"/>
              </w:rPr>
              <w:t>7</w:t>
            </w:r>
          </w:p>
        </w:tc>
        <w:tc>
          <w:tcPr>
            <w:tcW w:w="4252" w:type="dxa"/>
            <w:shd w:val="clear" w:color="auto" w:fill="auto"/>
          </w:tcPr>
          <w:p w14:paraId="2A7FB0F7" w14:textId="77777777" w:rsidR="00796DC3" w:rsidRDefault="00796DC3" w:rsidP="00796DC3">
            <w:pPr>
              <w:rPr>
                <w:lang w:eastAsia="x-none"/>
              </w:rPr>
            </w:pPr>
            <w:r>
              <w:rPr>
                <w:lang w:eastAsia="x-none"/>
              </w:rPr>
              <w:t>P</w:t>
            </w:r>
            <w:r w:rsidRPr="00181F0C">
              <w:rPr>
                <w:lang w:eastAsia="x-none"/>
              </w:rPr>
              <w:t xml:space="preserve">ovečanje učinkovite rabe v gospodinjstvih za vsaj </w:t>
            </w:r>
            <w:r w:rsidRPr="002020F3">
              <w:rPr>
                <w:lang w:eastAsia="x-none"/>
              </w:rPr>
              <w:t>20%</w:t>
            </w:r>
          </w:p>
        </w:tc>
      </w:tr>
      <w:tr w:rsidR="00796DC3" w14:paraId="2A7FB0FC" w14:textId="77777777" w:rsidTr="00796DC3">
        <w:tc>
          <w:tcPr>
            <w:tcW w:w="3510" w:type="dxa"/>
            <w:vMerge/>
            <w:shd w:val="clear" w:color="auto" w:fill="auto"/>
            <w:vAlign w:val="center"/>
          </w:tcPr>
          <w:p w14:paraId="2A7FB0F9" w14:textId="77777777" w:rsidR="00796DC3" w:rsidRDefault="00796DC3" w:rsidP="00796DC3">
            <w:pPr>
              <w:rPr>
                <w:lang w:eastAsia="x-none"/>
              </w:rPr>
            </w:pPr>
          </w:p>
        </w:tc>
        <w:tc>
          <w:tcPr>
            <w:tcW w:w="1418" w:type="dxa"/>
            <w:vAlign w:val="center"/>
          </w:tcPr>
          <w:p w14:paraId="2A7FB0FA" w14:textId="77777777" w:rsidR="00796DC3" w:rsidRPr="00ED431E" w:rsidRDefault="00796DC3" w:rsidP="00796DC3">
            <w:pPr>
              <w:jc w:val="center"/>
              <w:rPr>
                <w:b/>
                <w:i/>
                <w:lang w:eastAsia="x-none"/>
              </w:rPr>
            </w:pPr>
            <w:r>
              <w:rPr>
                <w:b/>
                <w:i/>
                <w:lang w:eastAsia="x-none"/>
              </w:rPr>
              <w:t>8</w:t>
            </w:r>
          </w:p>
        </w:tc>
        <w:tc>
          <w:tcPr>
            <w:tcW w:w="4252" w:type="dxa"/>
            <w:shd w:val="clear" w:color="auto" w:fill="auto"/>
          </w:tcPr>
          <w:p w14:paraId="2A7FB0FB" w14:textId="77777777" w:rsidR="00796DC3" w:rsidRDefault="00796DC3" w:rsidP="00796DC3">
            <w:pPr>
              <w:rPr>
                <w:lang w:eastAsia="x-none"/>
              </w:rPr>
            </w:pPr>
            <w:r>
              <w:rPr>
                <w:lang w:eastAsia="x-none"/>
              </w:rPr>
              <w:t>P</w:t>
            </w:r>
            <w:r w:rsidRPr="00181F0C">
              <w:rPr>
                <w:lang w:eastAsia="x-none"/>
              </w:rPr>
              <w:t>ovečanje učinkovite r</w:t>
            </w:r>
            <w:r>
              <w:rPr>
                <w:lang w:eastAsia="x-none"/>
              </w:rPr>
              <w:t xml:space="preserve">abe v javnem sektorju za vsaj </w:t>
            </w:r>
            <w:r w:rsidRPr="002020F3">
              <w:rPr>
                <w:lang w:eastAsia="x-none"/>
              </w:rPr>
              <w:t>35%</w:t>
            </w:r>
          </w:p>
        </w:tc>
      </w:tr>
      <w:tr w:rsidR="00796DC3" w14:paraId="2A7FB100" w14:textId="77777777" w:rsidTr="00551F95">
        <w:trPr>
          <w:trHeight w:val="779"/>
        </w:trPr>
        <w:tc>
          <w:tcPr>
            <w:tcW w:w="3510" w:type="dxa"/>
            <w:vMerge/>
            <w:shd w:val="clear" w:color="auto" w:fill="auto"/>
            <w:vAlign w:val="center"/>
          </w:tcPr>
          <w:p w14:paraId="2A7FB0FD" w14:textId="77777777" w:rsidR="00796DC3" w:rsidRDefault="00796DC3" w:rsidP="00796DC3">
            <w:pPr>
              <w:rPr>
                <w:lang w:eastAsia="x-none"/>
              </w:rPr>
            </w:pPr>
          </w:p>
        </w:tc>
        <w:tc>
          <w:tcPr>
            <w:tcW w:w="1418" w:type="dxa"/>
            <w:vAlign w:val="center"/>
          </w:tcPr>
          <w:p w14:paraId="2A7FB0FE" w14:textId="77777777" w:rsidR="00796DC3" w:rsidRPr="00ED431E" w:rsidRDefault="00796DC3" w:rsidP="00796DC3">
            <w:pPr>
              <w:jc w:val="center"/>
              <w:rPr>
                <w:b/>
                <w:i/>
                <w:lang w:eastAsia="x-none"/>
              </w:rPr>
            </w:pPr>
            <w:r>
              <w:rPr>
                <w:b/>
                <w:i/>
                <w:lang w:eastAsia="x-none"/>
              </w:rPr>
              <w:t>9</w:t>
            </w:r>
          </w:p>
        </w:tc>
        <w:tc>
          <w:tcPr>
            <w:tcW w:w="4252" w:type="dxa"/>
            <w:shd w:val="clear" w:color="auto" w:fill="auto"/>
          </w:tcPr>
          <w:p w14:paraId="2A7FB0FF" w14:textId="77777777" w:rsidR="00796DC3" w:rsidRDefault="00796DC3" w:rsidP="00796DC3">
            <w:pPr>
              <w:rPr>
                <w:lang w:eastAsia="x-none"/>
              </w:rPr>
            </w:pPr>
            <w:r w:rsidRPr="00181F0C">
              <w:rPr>
                <w:lang w:eastAsia="x-none"/>
              </w:rPr>
              <w:t>Povečanje deleža električne energije proizvedene v sistemih SPTE</w:t>
            </w:r>
          </w:p>
        </w:tc>
      </w:tr>
      <w:tr w:rsidR="00796DC3" w14:paraId="2A7FB104" w14:textId="77777777" w:rsidTr="00796DC3">
        <w:tc>
          <w:tcPr>
            <w:tcW w:w="3510" w:type="dxa"/>
            <w:vMerge w:val="restart"/>
            <w:shd w:val="clear" w:color="auto" w:fill="auto"/>
            <w:vAlign w:val="center"/>
          </w:tcPr>
          <w:p w14:paraId="2A7FB101" w14:textId="77777777" w:rsidR="00796DC3" w:rsidRDefault="00796DC3" w:rsidP="00796DC3">
            <w:pPr>
              <w:rPr>
                <w:lang w:eastAsia="x-none"/>
              </w:rPr>
            </w:pPr>
            <w:r>
              <w:rPr>
                <w:lang w:eastAsia="x-none"/>
              </w:rPr>
              <w:t>Z</w:t>
            </w:r>
            <w:r w:rsidRPr="006B1761">
              <w:rPr>
                <w:lang w:eastAsia="x-none"/>
              </w:rPr>
              <w:t xml:space="preserve">manjšanje emisij </w:t>
            </w:r>
            <w:r>
              <w:rPr>
                <w:lang w:eastAsia="x-none"/>
              </w:rPr>
              <w:t>CO</w:t>
            </w:r>
            <w:r w:rsidRPr="00A63DE9">
              <w:rPr>
                <w:vertAlign w:val="subscript"/>
                <w:lang w:eastAsia="x-none"/>
              </w:rPr>
              <w:t>2</w:t>
            </w:r>
            <w:r>
              <w:rPr>
                <w:lang w:eastAsia="x-none"/>
              </w:rPr>
              <w:t xml:space="preserve"> </w:t>
            </w:r>
            <w:r w:rsidRPr="006B1761">
              <w:rPr>
                <w:lang w:eastAsia="x-none"/>
              </w:rPr>
              <w:t xml:space="preserve">za </w:t>
            </w:r>
            <w:r>
              <w:rPr>
                <w:lang w:eastAsia="x-none"/>
              </w:rPr>
              <w:t>vsaj 15</w:t>
            </w:r>
            <w:r w:rsidRPr="00A63DE9">
              <w:rPr>
                <w:lang w:eastAsia="x-none"/>
              </w:rPr>
              <w:t>%</w:t>
            </w:r>
            <w:r>
              <w:rPr>
                <w:lang w:eastAsia="x-none"/>
              </w:rPr>
              <w:t xml:space="preserve"> do leta 2020 glede na leto 2010</w:t>
            </w:r>
          </w:p>
        </w:tc>
        <w:tc>
          <w:tcPr>
            <w:tcW w:w="1418" w:type="dxa"/>
            <w:vAlign w:val="center"/>
          </w:tcPr>
          <w:p w14:paraId="2A7FB102" w14:textId="77777777" w:rsidR="00796DC3" w:rsidRPr="00ED431E" w:rsidRDefault="00796DC3" w:rsidP="00796DC3">
            <w:pPr>
              <w:jc w:val="center"/>
              <w:rPr>
                <w:b/>
                <w:i/>
                <w:lang w:eastAsia="x-none"/>
              </w:rPr>
            </w:pPr>
            <w:r>
              <w:rPr>
                <w:b/>
                <w:i/>
                <w:lang w:eastAsia="x-none"/>
              </w:rPr>
              <w:t>10</w:t>
            </w:r>
          </w:p>
        </w:tc>
        <w:tc>
          <w:tcPr>
            <w:tcW w:w="4252" w:type="dxa"/>
            <w:shd w:val="clear" w:color="auto" w:fill="auto"/>
          </w:tcPr>
          <w:p w14:paraId="2A7FB103" w14:textId="77777777" w:rsidR="00796DC3" w:rsidRDefault="00796DC3" w:rsidP="00796DC3">
            <w:pPr>
              <w:rPr>
                <w:lang w:eastAsia="x-none"/>
              </w:rPr>
            </w:pPr>
            <w:r>
              <w:rPr>
                <w:lang w:eastAsia="x-none"/>
              </w:rPr>
              <w:t xml:space="preserve">Zmanjšanje emisij iz gospodinjstev </w:t>
            </w:r>
            <w:r w:rsidRPr="00CD1A5F">
              <w:rPr>
                <w:lang w:eastAsia="x-none"/>
              </w:rPr>
              <w:t>za 20%</w:t>
            </w:r>
          </w:p>
        </w:tc>
      </w:tr>
      <w:tr w:rsidR="00796DC3" w14:paraId="2A7FB108" w14:textId="77777777" w:rsidTr="00796DC3">
        <w:tc>
          <w:tcPr>
            <w:tcW w:w="3510" w:type="dxa"/>
            <w:vMerge/>
            <w:shd w:val="clear" w:color="auto" w:fill="auto"/>
          </w:tcPr>
          <w:p w14:paraId="2A7FB105" w14:textId="77777777" w:rsidR="00796DC3" w:rsidRPr="006B1761" w:rsidRDefault="00796DC3" w:rsidP="00796DC3">
            <w:pPr>
              <w:rPr>
                <w:lang w:eastAsia="x-none"/>
              </w:rPr>
            </w:pPr>
          </w:p>
        </w:tc>
        <w:tc>
          <w:tcPr>
            <w:tcW w:w="1418" w:type="dxa"/>
            <w:vAlign w:val="center"/>
          </w:tcPr>
          <w:p w14:paraId="2A7FB106" w14:textId="77777777" w:rsidR="00796DC3" w:rsidRPr="00916DD7" w:rsidRDefault="00796DC3" w:rsidP="00796DC3">
            <w:pPr>
              <w:jc w:val="center"/>
              <w:rPr>
                <w:b/>
                <w:i/>
                <w:lang w:eastAsia="x-none"/>
              </w:rPr>
            </w:pPr>
            <w:r w:rsidRPr="00916DD7">
              <w:rPr>
                <w:b/>
                <w:i/>
                <w:lang w:eastAsia="x-none"/>
              </w:rPr>
              <w:t>11</w:t>
            </w:r>
          </w:p>
        </w:tc>
        <w:tc>
          <w:tcPr>
            <w:tcW w:w="4252" w:type="dxa"/>
            <w:shd w:val="clear" w:color="auto" w:fill="auto"/>
          </w:tcPr>
          <w:p w14:paraId="2A7FB107" w14:textId="77777777" w:rsidR="00796DC3" w:rsidRDefault="00796DC3" w:rsidP="00796DC3">
            <w:pPr>
              <w:rPr>
                <w:lang w:eastAsia="x-none"/>
              </w:rPr>
            </w:pPr>
            <w:r>
              <w:rPr>
                <w:lang w:eastAsia="x-none"/>
              </w:rPr>
              <w:t xml:space="preserve">Zmanjšanje emisij v javnem sektorju </w:t>
            </w:r>
            <w:r w:rsidRPr="00CD1A5F">
              <w:rPr>
                <w:lang w:eastAsia="x-none"/>
              </w:rPr>
              <w:t>za 90%</w:t>
            </w:r>
          </w:p>
        </w:tc>
      </w:tr>
      <w:tr w:rsidR="00796DC3" w14:paraId="2A7FB10C" w14:textId="77777777" w:rsidTr="00796DC3">
        <w:tc>
          <w:tcPr>
            <w:tcW w:w="3510" w:type="dxa"/>
            <w:vMerge/>
            <w:shd w:val="clear" w:color="auto" w:fill="auto"/>
          </w:tcPr>
          <w:p w14:paraId="2A7FB109" w14:textId="77777777" w:rsidR="00796DC3" w:rsidRPr="006B1761" w:rsidRDefault="00796DC3" w:rsidP="00796DC3">
            <w:pPr>
              <w:rPr>
                <w:lang w:eastAsia="x-none"/>
              </w:rPr>
            </w:pPr>
          </w:p>
        </w:tc>
        <w:tc>
          <w:tcPr>
            <w:tcW w:w="1418" w:type="dxa"/>
            <w:vAlign w:val="center"/>
          </w:tcPr>
          <w:p w14:paraId="2A7FB10A" w14:textId="77777777" w:rsidR="00796DC3" w:rsidRPr="00916DD7" w:rsidRDefault="00796DC3" w:rsidP="00796DC3">
            <w:pPr>
              <w:jc w:val="center"/>
              <w:rPr>
                <w:b/>
                <w:i/>
                <w:lang w:eastAsia="x-none"/>
              </w:rPr>
            </w:pPr>
            <w:r>
              <w:rPr>
                <w:b/>
                <w:i/>
                <w:lang w:eastAsia="x-none"/>
              </w:rPr>
              <w:t>12</w:t>
            </w:r>
          </w:p>
        </w:tc>
        <w:tc>
          <w:tcPr>
            <w:tcW w:w="4252" w:type="dxa"/>
            <w:shd w:val="clear" w:color="auto" w:fill="auto"/>
          </w:tcPr>
          <w:p w14:paraId="2A7FB10B" w14:textId="77777777" w:rsidR="00796DC3" w:rsidRDefault="00796DC3" w:rsidP="00796DC3">
            <w:pPr>
              <w:rPr>
                <w:lang w:eastAsia="x-none"/>
              </w:rPr>
            </w:pPr>
            <w:r>
              <w:rPr>
                <w:lang w:eastAsia="x-none"/>
              </w:rPr>
              <w:t>Zmanjšanje emisij v podjetjih</w:t>
            </w:r>
          </w:p>
        </w:tc>
      </w:tr>
      <w:tr w:rsidR="00796DC3" w14:paraId="2A7FB110" w14:textId="77777777" w:rsidTr="00796DC3">
        <w:tc>
          <w:tcPr>
            <w:tcW w:w="3510" w:type="dxa"/>
            <w:vMerge/>
            <w:shd w:val="clear" w:color="auto" w:fill="auto"/>
          </w:tcPr>
          <w:p w14:paraId="2A7FB10D" w14:textId="77777777" w:rsidR="00796DC3" w:rsidRPr="006B1761" w:rsidRDefault="00796DC3" w:rsidP="00796DC3">
            <w:pPr>
              <w:rPr>
                <w:lang w:eastAsia="x-none"/>
              </w:rPr>
            </w:pPr>
          </w:p>
        </w:tc>
        <w:tc>
          <w:tcPr>
            <w:tcW w:w="1418" w:type="dxa"/>
            <w:vAlign w:val="center"/>
          </w:tcPr>
          <w:p w14:paraId="2A7FB10E" w14:textId="77777777" w:rsidR="00796DC3" w:rsidRPr="00916DD7" w:rsidRDefault="00796DC3" w:rsidP="00796DC3">
            <w:pPr>
              <w:jc w:val="center"/>
              <w:rPr>
                <w:b/>
                <w:i/>
                <w:lang w:eastAsia="x-none"/>
              </w:rPr>
            </w:pPr>
            <w:r>
              <w:rPr>
                <w:b/>
                <w:i/>
                <w:lang w:eastAsia="x-none"/>
              </w:rPr>
              <w:t>13</w:t>
            </w:r>
          </w:p>
        </w:tc>
        <w:tc>
          <w:tcPr>
            <w:tcW w:w="4252" w:type="dxa"/>
            <w:shd w:val="clear" w:color="auto" w:fill="auto"/>
          </w:tcPr>
          <w:p w14:paraId="2A7FB10F" w14:textId="77777777" w:rsidR="00796DC3" w:rsidRDefault="00796DC3" w:rsidP="00796DC3">
            <w:pPr>
              <w:rPr>
                <w:lang w:eastAsia="x-none"/>
              </w:rPr>
            </w:pPr>
            <w:r>
              <w:rPr>
                <w:lang w:eastAsia="x-none"/>
              </w:rPr>
              <w:t>Z</w:t>
            </w:r>
            <w:r w:rsidRPr="006B1761">
              <w:rPr>
                <w:lang w:eastAsia="x-none"/>
              </w:rPr>
              <w:t>manjšanje emisij iz prometa</w:t>
            </w:r>
          </w:p>
        </w:tc>
      </w:tr>
    </w:tbl>
    <w:p w14:paraId="2A7FB111" w14:textId="77777777" w:rsidR="00735D25" w:rsidRDefault="00735D25" w:rsidP="00735D25">
      <w:pPr>
        <w:jc w:val="both"/>
        <w:rPr>
          <w:lang w:eastAsia="sl-SI"/>
        </w:rPr>
      </w:pPr>
      <w:r>
        <w:rPr>
          <w:lang w:eastAsia="sl-SI"/>
        </w:rPr>
        <w:lastRenderedPageBreak/>
        <w:t>Za doseganje zastavljenih ciljev je predvidena vrsta ukrepov:</w:t>
      </w:r>
    </w:p>
    <w:p w14:paraId="2A7FB112" w14:textId="77777777" w:rsidR="00473906" w:rsidRPr="00473906" w:rsidRDefault="00473906" w:rsidP="00473906">
      <w:pPr>
        <w:pStyle w:val="Odstavekseznama"/>
        <w:numPr>
          <w:ilvl w:val="0"/>
          <w:numId w:val="6"/>
        </w:numPr>
        <w:jc w:val="both"/>
        <w:rPr>
          <w:i/>
          <w:lang w:eastAsia="sl-SI"/>
        </w:rPr>
      </w:pPr>
      <w:r w:rsidRPr="00473906">
        <w:rPr>
          <w:i/>
          <w:lang w:eastAsia="sl-SI"/>
        </w:rPr>
        <w:t>Imenovanje občinskega energetskega upravljavca,</w:t>
      </w:r>
    </w:p>
    <w:p w14:paraId="2A7FB113" w14:textId="77777777" w:rsidR="00473906" w:rsidRPr="00473906" w:rsidRDefault="00473906" w:rsidP="00473906">
      <w:pPr>
        <w:pStyle w:val="Odstavekseznama"/>
        <w:numPr>
          <w:ilvl w:val="0"/>
          <w:numId w:val="6"/>
        </w:numPr>
        <w:jc w:val="both"/>
        <w:rPr>
          <w:i/>
          <w:lang w:eastAsia="sl-SI"/>
        </w:rPr>
      </w:pPr>
      <w:r w:rsidRPr="00473906">
        <w:rPr>
          <w:i/>
          <w:lang w:eastAsia="sl-SI"/>
        </w:rPr>
        <w:t>Povečanje ozaveščenosti vseh porabnikov v občini na področjih OVE in URE,</w:t>
      </w:r>
    </w:p>
    <w:p w14:paraId="2A7FB114" w14:textId="77777777" w:rsidR="00473906" w:rsidRPr="00473906" w:rsidRDefault="00473906" w:rsidP="00473906">
      <w:pPr>
        <w:pStyle w:val="Odstavekseznama"/>
        <w:numPr>
          <w:ilvl w:val="0"/>
          <w:numId w:val="6"/>
        </w:numPr>
        <w:jc w:val="both"/>
        <w:rPr>
          <w:i/>
          <w:lang w:eastAsia="sl-SI"/>
        </w:rPr>
      </w:pPr>
      <w:r w:rsidRPr="00473906">
        <w:rPr>
          <w:i/>
          <w:lang w:eastAsia="sl-SI"/>
        </w:rPr>
        <w:t>Seznanitev občanov o možnostih pridobivanja nepovratnih sredstev in ugodnih kreditov za naložbe v ukrepe URE in OVE ter o možnostih brezplačnega svetovanja pri odločanju za investicije,</w:t>
      </w:r>
    </w:p>
    <w:p w14:paraId="2A7FB115" w14:textId="77777777" w:rsidR="00473906" w:rsidRPr="00473906" w:rsidRDefault="00473906" w:rsidP="00473906">
      <w:pPr>
        <w:pStyle w:val="Odstavekseznama"/>
        <w:numPr>
          <w:ilvl w:val="0"/>
          <w:numId w:val="6"/>
        </w:numPr>
        <w:jc w:val="both"/>
        <w:rPr>
          <w:i/>
          <w:lang w:eastAsia="sl-SI"/>
        </w:rPr>
      </w:pPr>
      <w:r w:rsidRPr="00473906">
        <w:rPr>
          <w:i/>
          <w:lang w:eastAsia="sl-SI"/>
        </w:rPr>
        <w:t>Energetsko knjigovodstvo v občinskih javnih stavbah,</w:t>
      </w:r>
    </w:p>
    <w:p w14:paraId="2A7FB116" w14:textId="77777777" w:rsidR="00473906" w:rsidRPr="00473906" w:rsidRDefault="00473906" w:rsidP="00473906">
      <w:pPr>
        <w:pStyle w:val="Odstavekseznama"/>
        <w:numPr>
          <w:ilvl w:val="0"/>
          <w:numId w:val="6"/>
        </w:numPr>
        <w:jc w:val="both"/>
        <w:rPr>
          <w:i/>
          <w:lang w:eastAsia="sl-SI"/>
        </w:rPr>
      </w:pPr>
      <w:r w:rsidRPr="00473906">
        <w:rPr>
          <w:i/>
          <w:lang w:eastAsia="sl-SI"/>
        </w:rPr>
        <w:t>Izvedba podrobnih energetskih pregledov in izdelava energetskih izkaznic v občinskih javnih stavbah,</w:t>
      </w:r>
    </w:p>
    <w:p w14:paraId="2A7FB117" w14:textId="77777777" w:rsidR="00473906" w:rsidRPr="00473906" w:rsidRDefault="00473906" w:rsidP="00473906">
      <w:pPr>
        <w:pStyle w:val="Odstavekseznama"/>
        <w:numPr>
          <w:ilvl w:val="0"/>
          <w:numId w:val="6"/>
        </w:numPr>
        <w:jc w:val="both"/>
        <w:rPr>
          <w:i/>
          <w:lang w:eastAsia="sl-SI"/>
        </w:rPr>
      </w:pPr>
      <w:r w:rsidRPr="00473906">
        <w:rPr>
          <w:i/>
          <w:lang w:eastAsia="sl-SI"/>
        </w:rPr>
        <w:t>Zelena javna naročila,</w:t>
      </w:r>
    </w:p>
    <w:p w14:paraId="2A7FB118" w14:textId="77777777" w:rsidR="00473906" w:rsidRPr="00473906" w:rsidRDefault="00473906" w:rsidP="00473906">
      <w:pPr>
        <w:pStyle w:val="Odstavekseznama"/>
        <w:numPr>
          <w:ilvl w:val="0"/>
          <w:numId w:val="6"/>
        </w:numPr>
        <w:jc w:val="both"/>
        <w:rPr>
          <w:i/>
          <w:lang w:eastAsia="sl-SI"/>
        </w:rPr>
      </w:pPr>
      <w:r w:rsidRPr="00473906">
        <w:rPr>
          <w:i/>
          <w:lang w:eastAsia="sl-SI"/>
        </w:rPr>
        <w:t>Vlaganje proračunskih prihrankov iz naslova ukrepov URE in OVE v nove izboljšave na področju URE in OVE,</w:t>
      </w:r>
    </w:p>
    <w:p w14:paraId="2A7FB119" w14:textId="77777777" w:rsidR="00473906" w:rsidRPr="00473906" w:rsidRDefault="00473906" w:rsidP="00473906">
      <w:pPr>
        <w:pStyle w:val="Odstavekseznama"/>
        <w:numPr>
          <w:ilvl w:val="0"/>
          <w:numId w:val="6"/>
        </w:numPr>
        <w:jc w:val="both"/>
        <w:rPr>
          <w:i/>
          <w:lang w:eastAsia="sl-SI"/>
        </w:rPr>
      </w:pPr>
      <w:r w:rsidRPr="00473906">
        <w:rPr>
          <w:i/>
          <w:lang w:eastAsia="sl-SI"/>
        </w:rPr>
        <w:t>Izobraževanje zaposlenih v občinskih javnih stavbah o URE in OVE,</w:t>
      </w:r>
    </w:p>
    <w:p w14:paraId="2A7FB11A" w14:textId="77777777" w:rsidR="00473906" w:rsidRPr="00473906" w:rsidRDefault="00473906" w:rsidP="00473906">
      <w:pPr>
        <w:pStyle w:val="Odstavekseznama"/>
        <w:numPr>
          <w:ilvl w:val="0"/>
          <w:numId w:val="6"/>
        </w:numPr>
        <w:jc w:val="both"/>
        <w:rPr>
          <w:i/>
          <w:lang w:eastAsia="sl-SI"/>
        </w:rPr>
      </w:pPr>
      <w:r w:rsidRPr="00473906">
        <w:rPr>
          <w:i/>
          <w:lang w:eastAsia="sl-SI"/>
        </w:rPr>
        <w:t>Prijave na razpise na področju URE in OVE v javnem sektorju,</w:t>
      </w:r>
    </w:p>
    <w:p w14:paraId="2A7FB11B" w14:textId="77777777" w:rsidR="00473906" w:rsidRPr="00473906" w:rsidRDefault="00473906" w:rsidP="00473906">
      <w:pPr>
        <w:pStyle w:val="Odstavekseznama"/>
        <w:numPr>
          <w:ilvl w:val="0"/>
          <w:numId w:val="6"/>
        </w:numPr>
        <w:jc w:val="both"/>
        <w:rPr>
          <w:i/>
          <w:lang w:eastAsia="sl-SI"/>
        </w:rPr>
      </w:pPr>
      <w:r w:rsidRPr="00473906">
        <w:rPr>
          <w:i/>
          <w:lang w:eastAsia="sl-SI"/>
        </w:rPr>
        <w:t>Izvedba manj zahtevnih investicijskih ukrepov na področju URE v občinskih javnih stavbah,</w:t>
      </w:r>
    </w:p>
    <w:p w14:paraId="2A7FB11C" w14:textId="77777777" w:rsidR="00473906" w:rsidRPr="00473906" w:rsidRDefault="00473906" w:rsidP="00473906">
      <w:pPr>
        <w:pStyle w:val="Odstavekseznama"/>
        <w:numPr>
          <w:ilvl w:val="0"/>
          <w:numId w:val="6"/>
        </w:numPr>
        <w:jc w:val="both"/>
        <w:rPr>
          <w:i/>
          <w:lang w:eastAsia="sl-SI"/>
        </w:rPr>
      </w:pPr>
      <w:r w:rsidRPr="00473906">
        <w:rPr>
          <w:i/>
          <w:lang w:eastAsia="sl-SI"/>
        </w:rPr>
        <w:t>Izvedba zahtevnih investicijskih ukrepov na področju URE v občinskih javnih stavbah,</w:t>
      </w:r>
    </w:p>
    <w:p w14:paraId="2A7FB11D" w14:textId="77777777" w:rsidR="00473906" w:rsidRPr="00473906" w:rsidRDefault="00473906" w:rsidP="00473906">
      <w:pPr>
        <w:pStyle w:val="Odstavekseznama"/>
        <w:numPr>
          <w:ilvl w:val="0"/>
          <w:numId w:val="6"/>
        </w:numPr>
        <w:jc w:val="both"/>
        <w:rPr>
          <w:i/>
          <w:lang w:eastAsia="sl-SI"/>
        </w:rPr>
      </w:pPr>
      <w:r w:rsidRPr="00473906">
        <w:rPr>
          <w:i/>
          <w:lang w:eastAsia="sl-SI"/>
        </w:rPr>
        <w:t>Izvedba demonstracijskega / študijskega primera energetske sanacije v eni od javnih občinskih stavb z informativnimi tablami in objavo v občinskih medijih,</w:t>
      </w:r>
    </w:p>
    <w:p w14:paraId="2A7FB11E" w14:textId="77777777" w:rsidR="00473906" w:rsidRPr="00473906" w:rsidRDefault="00473906" w:rsidP="00473906">
      <w:pPr>
        <w:pStyle w:val="Odstavekseznama"/>
        <w:numPr>
          <w:ilvl w:val="0"/>
          <w:numId w:val="6"/>
        </w:numPr>
        <w:jc w:val="both"/>
        <w:rPr>
          <w:i/>
          <w:lang w:eastAsia="sl-SI"/>
        </w:rPr>
      </w:pPr>
      <w:r w:rsidRPr="00473906">
        <w:rPr>
          <w:i/>
          <w:lang w:eastAsia="sl-SI"/>
        </w:rPr>
        <w:t>Postavitev sončne elektrarne na strehi OŠ Renče,</w:t>
      </w:r>
    </w:p>
    <w:p w14:paraId="2A7FB11F" w14:textId="77777777" w:rsidR="00473906" w:rsidRPr="00473906" w:rsidRDefault="00473906" w:rsidP="00473906">
      <w:pPr>
        <w:pStyle w:val="Odstavekseznama"/>
        <w:numPr>
          <w:ilvl w:val="0"/>
          <w:numId w:val="6"/>
        </w:numPr>
        <w:jc w:val="both"/>
        <w:rPr>
          <w:i/>
          <w:lang w:eastAsia="sl-SI"/>
        </w:rPr>
      </w:pPr>
      <w:r w:rsidRPr="00473906">
        <w:rPr>
          <w:i/>
          <w:lang w:eastAsia="sl-SI"/>
        </w:rPr>
        <w:t>Zamenjava svetilk občinske javne razsvetljave,</w:t>
      </w:r>
    </w:p>
    <w:p w14:paraId="2A7FB120" w14:textId="77777777" w:rsidR="00473906" w:rsidRPr="00473906" w:rsidRDefault="00473906" w:rsidP="00473906">
      <w:pPr>
        <w:pStyle w:val="Odstavekseznama"/>
        <w:numPr>
          <w:ilvl w:val="0"/>
          <w:numId w:val="6"/>
        </w:numPr>
        <w:jc w:val="both"/>
        <w:rPr>
          <w:i/>
          <w:lang w:eastAsia="sl-SI"/>
        </w:rPr>
      </w:pPr>
      <w:r w:rsidRPr="00473906">
        <w:rPr>
          <w:i/>
          <w:lang w:eastAsia="sl-SI"/>
        </w:rPr>
        <w:t>Informiranje  podjetij v občini o URE in OVE ter o možnostih za pridobivanje nepovratnih sredstev,</w:t>
      </w:r>
    </w:p>
    <w:p w14:paraId="2A7FB121" w14:textId="77777777" w:rsidR="00473906" w:rsidRPr="00473906" w:rsidRDefault="00473906" w:rsidP="00473906">
      <w:pPr>
        <w:pStyle w:val="Odstavekseznama"/>
        <w:numPr>
          <w:ilvl w:val="0"/>
          <w:numId w:val="6"/>
        </w:numPr>
        <w:jc w:val="both"/>
        <w:rPr>
          <w:i/>
          <w:lang w:eastAsia="sl-SI"/>
        </w:rPr>
      </w:pPr>
      <w:r w:rsidRPr="00473906">
        <w:rPr>
          <w:i/>
          <w:lang w:eastAsia="sl-SI"/>
        </w:rPr>
        <w:t>Spodbujanje alternativnih načinov prevoza v občini.</w:t>
      </w:r>
    </w:p>
    <w:p w14:paraId="2A7FB122" w14:textId="77777777" w:rsidR="00473906" w:rsidRDefault="00473906" w:rsidP="00735D25">
      <w:pPr>
        <w:jc w:val="both"/>
        <w:rPr>
          <w:lang w:eastAsia="sl-SI"/>
        </w:rPr>
      </w:pPr>
    </w:p>
    <w:p w14:paraId="2A7FB123" w14:textId="77777777" w:rsidR="00735D25" w:rsidRDefault="00735D25" w:rsidP="00735D25">
      <w:pPr>
        <w:jc w:val="both"/>
        <w:rPr>
          <w:lang w:eastAsia="sl-SI"/>
        </w:rPr>
      </w:pPr>
      <w:r>
        <w:rPr>
          <w:lang w:eastAsia="sl-SI"/>
        </w:rPr>
        <w:t>Ukrepi so podrobno razdelani in utemeljeni v poglavju 11, vsak ukrep pa ima določene tudi ustrezne kazalnike za spremljanje izvajanja in učinkov.</w:t>
      </w:r>
    </w:p>
    <w:p w14:paraId="2A7FB124" w14:textId="77777777" w:rsidR="00735D25" w:rsidRDefault="00735D25" w:rsidP="00735D25">
      <w:pPr>
        <w:jc w:val="both"/>
        <w:rPr>
          <w:lang w:eastAsia="sl-SI"/>
        </w:rPr>
      </w:pPr>
      <w:r>
        <w:rPr>
          <w:lang w:eastAsia="sl-SI"/>
        </w:rPr>
        <w:t>Na podlagi predvidenih ukrepov je izdelan akcijski načrt, ki se nahaja v poglavju 12. Predvidene aktivnosti so opredeljene v časovnem in finančnem okviru, določeni so odgovorni nosilci ter kazalniki za spremljanje uspešnosti izvedbe ukrepa.</w:t>
      </w:r>
    </w:p>
    <w:p w14:paraId="2A7FB125" w14:textId="77777777" w:rsidR="00551F95" w:rsidRDefault="00551F95" w:rsidP="00735D25">
      <w:pPr>
        <w:jc w:val="both"/>
        <w:rPr>
          <w:lang w:eastAsia="sl-SI"/>
        </w:rPr>
      </w:pPr>
    </w:p>
    <w:p w14:paraId="2A7FB126" w14:textId="77777777" w:rsidR="00551F95" w:rsidRDefault="00551F95" w:rsidP="00735D25">
      <w:pPr>
        <w:jc w:val="both"/>
        <w:rPr>
          <w:lang w:eastAsia="sl-SI"/>
        </w:rPr>
      </w:pPr>
    </w:p>
    <w:p w14:paraId="2A7FB127" w14:textId="77777777" w:rsidR="00551F95" w:rsidRDefault="00551F95" w:rsidP="00735D25">
      <w:pPr>
        <w:jc w:val="both"/>
        <w:rPr>
          <w:lang w:eastAsia="sl-SI"/>
        </w:rPr>
      </w:pPr>
    </w:p>
    <w:p w14:paraId="2A7FB128" w14:textId="77777777" w:rsidR="00551F95" w:rsidRDefault="00551F95" w:rsidP="00735D25">
      <w:pPr>
        <w:jc w:val="both"/>
        <w:rPr>
          <w:lang w:eastAsia="sl-SI"/>
        </w:rPr>
      </w:pPr>
    </w:p>
    <w:p w14:paraId="2A7FB129" w14:textId="77777777" w:rsidR="00551F95" w:rsidRDefault="00551F95" w:rsidP="00735D25">
      <w:pPr>
        <w:jc w:val="both"/>
        <w:rPr>
          <w:lang w:eastAsia="sl-SI"/>
        </w:rPr>
      </w:pPr>
    </w:p>
    <w:p w14:paraId="2A7FB12A" w14:textId="77777777" w:rsidR="00551F95" w:rsidRDefault="00551F95" w:rsidP="00735D25">
      <w:pPr>
        <w:jc w:val="both"/>
        <w:rPr>
          <w:lang w:eastAsia="sl-SI"/>
        </w:rPr>
      </w:pPr>
    </w:p>
    <w:p w14:paraId="2A7FB12B" w14:textId="77777777" w:rsidR="00735D25" w:rsidRDefault="00735D25" w:rsidP="00735D25">
      <w:pPr>
        <w:pStyle w:val="Naslov1"/>
      </w:pPr>
      <w:r>
        <w:rPr>
          <w:lang w:val="sl-SI"/>
        </w:rPr>
        <w:lastRenderedPageBreak/>
        <w:t xml:space="preserve"> </w:t>
      </w:r>
      <w:bookmarkStart w:id="7" w:name="_Toc319996138"/>
      <w:r>
        <w:t>Finančne obveznosti občine</w:t>
      </w:r>
      <w:bookmarkEnd w:id="7"/>
      <w:r>
        <w:t xml:space="preserve"> </w:t>
      </w:r>
    </w:p>
    <w:p w14:paraId="2A7FB12C" w14:textId="77777777" w:rsidR="00735D25" w:rsidRDefault="00735D25" w:rsidP="00735D25">
      <w:pPr>
        <w:jc w:val="both"/>
        <w:rPr>
          <w:lang w:eastAsia="sl-SI"/>
        </w:rPr>
      </w:pPr>
      <w:r>
        <w:rPr>
          <w:lang w:eastAsia="sl-SI"/>
        </w:rPr>
        <w:t>Na podlagi predvidenih aktivnosti so v spodnji tabeli podane okvirne finančne obveznosti občine za doseganje ciljev LEK.</w:t>
      </w:r>
      <w:r w:rsidR="00473906">
        <w:rPr>
          <w:lang w:eastAsia="sl-SI"/>
        </w:rPr>
        <w:t xml:space="preserve"> Podan je pregled za naslednje 10-letno obdobje</w:t>
      </w:r>
      <w:r>
        <w:rPr>
          <w:lang w:eastAsia="sl-SI"/>
        </w:rPr>
        <w:t xml:space="preserve">. Spodnje vrednosti so okvirne, saj bodo dejanska sredstva namenjena za posamezne aktivnosti </w:t>
      </w:r>
      <w:r w:rsidR="00642684">
        <w:rPr>
          <w:lang w:eastAsia="sl-SI"/>
        </w:rPr>
        <w:t xml:space="preserve">opredeljena za vsako proračunsko leto </w:t>
      </w:r>
      <w:r>
        <w:rPr>
          <w:lang w:eastAsia="sl-SI"/>
        </w:rPr>
        <w:t>glede na trenutno stanje in zmožnosti.</w:t>
      </w:r>
    </w:p>
    <w:p w14:paraId="2A7FB12D" w14:textId="77777777" w:rsidR="00473906" w:rsidRDefault="00473906" w:rsidP="00473906">
      <w:pPr>
        <w:pStyle w:val="Napis"/>
        <w:rPr>
          <w:lang w:val="sl-SI"/>
        </w:rPr>
      </w:pPr>
      <w:r>
        <w:t xml:space="preserve">Tabela </w:t>
      </w:r>
      <w:fldSimple w:instr=" SEQ Tabela \* ARABIC ">
        <w:r>
          <w:rPr>
            <w:noProof/>
          </w:rPr>
          <w:t>2</w:t>
        </w:r>
      </w:fldSimple>
      <w:r>
        <w:rPr>
          <w:lang w:val="sl-SI"/>
        </w:rPr>
        <w:t>: Finančne obveznosti občine v obdobju 2013-2022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693"/>
      </w:tblGrid>
      <w:tr w:rsidR="00473906" w14:paraId="2A7FB130" w14:textId="77777777" w:rsidTr="0057029D">
        <w:tc>
          <w:tcPr>
            <w:tcW w:w="1101" w:type="dxa"/>
            <w:shd w:val="clear" w:color="auto" w:fill="auto"/>
          </w:tcPr>
          <w:p w14:paraId="2A7FB12E" w14:textId="77777777" w:rsidR="00473906" w:rsidRPr="00627594" w:rsidRDefault="00473906" w:rsidP="0057029D">
            <w:pPr>
              <w:rPr>
                <w:b/>
              </w:rPr>
            </w:pPr>
            <w:r w:rsidRPr="00627594">
              <w:rPr>
                <w:b/>
              </w:rPr>
              <w:t>Leto</w:t>
            </w:r>
          </w:p>
        </w:tc>
        <w:tc>
          <w:tcPr>
            <w:tcW w:w="2693" w:type="dxa"/>
            <w:shd w:val="clear" w:color="auto" w:fill="auto"/>
          </w:tcPr>
          <w:p w14:paraId="2A7FB12F" w14:textId="77777777" w:rsidR="00473906" w:rsidRPr="00627594" w:rsidRDefault="00473906" w:rsidP="0057029D">
            <w:pPr>
              <w:rPr>
                <w:b/>
              </w:rPr>
            </w:pPr>
            <w:r w:rsidRPr="00627594">
              <w:rPr>
                <w:b/>
              </w:rPr>
              <w:t>Stroški občine (€)</w:t>
            </w:r>
          </w:p>
        </w:tc>
      </w:tr>
      <w:tr w:rsidR="00473906" w14:paraId="2A7FB133" w14:textId="77777777" w:rsidTr="0057029D">
        <w:tc>
          <w:tcPr>
            <w:tcW w:w="1101" w:type="dxa"/>
            <w:shd w:val="clear" w:color="auto" w:fill="auto"/>
          </w:tcPr>
          <w:p w14:paraId="2A7FB131" w14:textId="77777777" w:rsidR="00473906" w:rsidRDefault="00473906" w:rsidP="0057029D">
            <w:pPr>
              <w:pStyle w:val="Brezrazmikov"/>
              <w:jc w:val="right"/>
            </w:pPr>
            <w:r>
              <w:t>2013</w:t>
            </w:r>
          </w:p>
        </w:tc>
        <w:tc>
          <w:tcPr>
            <w:tcW w:w="2693" w:type="dxa"/>
            <w:shd w:val="clear" w:color="auto" w:fill="auto"/>
          </w:tcPr>
          <w:p w14:paraId="2A7FB132" w14:textId="77777777" w:rsidR="00473906" w:rsidRDefault="00473906" w:rsidP="0057029D">
            <w:pPr>
              <w:pStyle w:val="Brezrazmikov"/>
              <w:jc w:val="center"/>
            </w:pPr>
            <w:r>
              <w:t>38.750</w:t>
            </w:r>
          </w:p>
        </w:tc>
      </w:tr>
      <w:tr w:rsidR="00473906" w14:paraId="2A7FB136" w14:textId="77777777" w:rsidTr="0057029D">
        <w:tc>
          <w:tcPr>
            <w:tcW w:w="1101" w:type="dxa"/>
            <w:shd w:val="clear" w:color="auto" w:fill="auto"/>
          </w:tcPr>
          <w:p w14:paraId="2A7FB134" w14:textId="77777777" w:rsidR="00473906" w:rsidRDefault="00473906" w:rsidP="0057029D">
            <w:pPr>
              <w:pStyle w:val="Brezrazmikov"/>
              <w:jc w:val="right"/>
            </w:pPr>
            <w:r>
              <w:t>2014</w:t>
            </w:r>
          </w:p>
        </w:tc>
        <w:tc>
          <w:tcPr>
            <w:tcW w:w="2693" w:type="dxa"/>
            <w:shd w:val="clear" w:color="auto" w:fill="auto"/>
          </w:tcPr>
          <w:p w14:paraId="2A7FB135" w14:textId="77777777" w:rsidR="00473906" w:rsidRDefault="00473906" w:rsidP="0057029D">
            <w:pPr>
              <w:pStyle w:val="Brezrazmikov"/>
              <w:jc w:val="center"/>
            </w:pPr>
            <w:r>
              <w:t>26.000</w:t>
            </w:r>
          </w:p>
        </w:tc>
      </w:tr>
      <w:tr w:rsidR="00473906" w14:paraId="2A7FB139" w14:textId="77777777" w:rsidTr="0057029D">
        <w:tc>
          <w:tcPr>
            <w:tcW w:w="1101" w:type="dxa"/>
            <w:shd w:val="clear" w:color="auto" w:fill="auto"/>
          </w:tcPr>
          <w:p w14:paraId="2A7FB137" w14:textId="77777777" w:rsidR="00473906" w:rsidRDefault="00473906" w:rsidP="0057029D">
            <w:pPr>
              <w:pStyle w:val="Brezrazmikov"/>
              <w:jc w:val="right"/>
            </w:pPr>
            <w:r>
              <w:t>2015</w:t>
            </w:r>
          </w:p>
        </w:tc>
        <w:tc>
          <w:tcPr>
            <w:tcW w:w="2693" w:type="dxa"/>
            <w:shd w:val="clear" w:color="auto" w:fill="auto"/>
          </w:tcPr>
          <w:p w14:paraId="2A7FB138" w14:textId="77777777" w:rsidR="00473906" w:rsidRDefault="00473906" w:rsidP="0057029D">
            <w:pPr>
              <w:pStyle w:val="Brezrazmikov"/>
              <w:jc w:val="center"/>
            </w:pPr>
            <w:r>
              <w:t>26.000</w:t>
            </w:r>
          </w:p>
        </w:tc>
      </w:tr>
      <w:tr w:rsidR="00473906" w14:paraId="2A7FB13C" w14:textId="77777777" w:rsidTr="0057029D">
        <w:tc>
          <w:tcPr>
            <w:tcW w:w="1101" w:type="dxa"/>
            <w:shd w:val="clear" w:color="auto" w:fill="auto"/>
          </w:tcPr>
          <w:p w14:paraId="2A7FB13A" w14:textId="77777777" w:rsidR="00473906" w:rsidRDefault="00473906" w:rsidP="0057029D">
            <w:pPr>
              <w:pStyle w:val="Brezrazmikov"/>
              <w:jc w:val="right"/>
            </w:pPr>
            <w:r>
              <w:t>2016</w:t>
            </w:r>
          </w:p>
        </w:tc>
        <w:tc>
          <w:tcPr>
            <w:tcW w:w="2693" w:type="dxa"/>
            <w:shd w:val="clear" w:color="auto" w:fill="auto"/>
          </w:tcPr>
          <w:p w14:paraId="2A7FB13B" w14:textId="77777777" w:rsidR="00473906" w:rsidRDefault="00473906" w:rsidP="0057029D">
            <w:pPr>
              <w:pStyle w:val="Brezrazmikov"/>
              <w:jc w:val="center"/>
            </w:pPr>
            <w:r>
              <w:t>26.000</w:t>
            </w:r>
          </w:p>
        </w:tc>
      </w:tr>
      <w:tr w:rsidR="00473906" w14:paraId="2A7FB13F" w14:textId="77777777" w:rsidTr="0057029D">
        <w:tc>
          <w:tcPr>
            <w:tcW w:w="1101" w:type="dxa"/>
            <w:shd w:val="clear" w:color="auto" w:fill="auto"/>
          </w:tcPr>
          <w:p w14:paraId="2A7FB13D" w14:textId="77777777" w:rsidR="00473906" w:rsidRDefault="00473906" w:rsidP="0057029D">
            <w:pPr>
              <w:pStyle w:val="Brezrazmikov"/>
              <w:jc w:val="right"/>
            </w:pPr>
            <w:r>
              <w:t>2017</w:t>
            </w:r>
          </w:p>
        </w:tc>
        <w:tc>
          <w:tcPr>
            <w:tcW w:w="2693" w:type="dxa"/>
            <w:shd w:val="clear" w:color="auto" w:fill="auto"/>
          </w:tcPr>
          <w:p w14:paraId="2A7FB13E" w14:textId="77777777" w:rsidR="00473906" w:rsidRDefault="00473906" w:rsidP="0057029D">
            <w:pPr>
              <w:pStyle w:val="Brezrazmikov"/>
              <w:jc w:val="center"/>
            </w:pPr>
            <w:r>
              <w:t>8.000</w:t>
            </w:r>
          </w:p>
        </w:tc>
      </w:tr>
      <w:tr w:rsidR="00473906" w14:paraId="2A7FB142" w14:textId="77777777" w:rsidTr="0057029D">
        <w:tc>
          <w:tcPr>
            <w:tcW w:w="1101" w:type="dxa"/>
            <w:shd w:val="clear" w:color="auto" w:fill="auto"/>
          </w:tcPr>
          <w:p w14:paraId="2A7FB140" w14:textId="77777777" w:rsidR="00473906" w:rsidRDefault="00473906" w:rsidP="0057029D">
            <w:pPr>
              <w:pStyle w:val="Brezrazmikov"/>
              <w:jc w:val="right"/>
            </w:pPr>
            <w:r>
              <w:t>2018</w:t>
            </w:r>
          </w:p>
        </w:tc>
        <w:tc>
          <w:tcPr>
            <w:tcW w:w="2693" w:type="dxa"/>
            <w:shd w:val="clear" w:color="auto" w:fill="auto"/>
          </w:tcPr>
          <w:p w14:paraId="2A7FB141" w14:textId="77777777" w:rsidR="00473906" w:rsidRDefault="00473906" w:rsidP="0057029D">
            <w:pPr>
              <w:pStyle w:val="Brezrazmikov"/>
              <w:jc w:val="center"/>
            </w:pPr>
            <w:r>
              <w:t>8.000</w:t>
            </w:r>
          </w:p>
        </w:tc>
      </w:tr>
      <w:tr w:rsidR="00473906" w14:paraId="2A7FB145" w14:textId="77777777" w:rsidTr="0057029D">
        <w:tc>
          <w:tcPr>
            <w:tcW w:w="1101" w:type="dxa"/>
            <w:shd w:val="clear" w:color="auto" w:fill="auto"/>
          </w:tcPr>
          <w:p w14:paraId="2A7FB143" w14:textId="77777777" w:rsidR="00473906" w:rsidRDefault="00473906" w:rsidP="0057029D">
            <w:pPr>
              <w:pStyle w:val="Brezrazmikov"/>
              <w:jc w:val="right"/>
            </w:pPr>
            <w:r>
              <w:t>2019</w:t>
            </w:r>
          </w:p>
        </w:tc>
        <w:tc>
          <w:tcPr>
            <w:tcW w:w="2693" w:type="dxa"/>
            <w:shd w:val="clear" w:color="auto" w:fill="auto"/>
          </w:tcPr>
          <w:p w14:paraId="2A7FB144" w14:textId="77777777" w:rsidR="00473906" w:rsidRDefault="00473906" w:rsidP="0057029D">
            <w:pPr>
              <w:pStyle w:val="Brezrazmikov"/>
              <w:jc w:val="center"/>
            </w:pPr>
            <w:r>
              <w:t>8.000</w:t>
            </w:r>
          </w:p>
        </w:tc>
      </w:tr>
      <w:tr w:rsidR="00473906" w14:paraId="2A7FB148" w14:textId="77777777" w:rsidTr="0057029D">
        <w:tc>
          <w:tcPr>
            <w:tcW w:w="1101" w:type="dxa"/>
            <w:shd w:val="clear" w:color="auto" w:fill="auto"/>
          </w:tcPr>
          <w:p w14:paraId="2A7FB146" w14:textId="77777777" w:rsidR="00473906" w:rsidRDefault="00473906" w:rsidP="0057029D">
            <w:pPr>
              <w:pStyle w:val="Brezrazmikov"/>
              <w:jc w:val="right"/>
            </w:pPr>
            <w:r>
              <w:t>2020</w:t>
            </w:r>
          </w:p>
        </w:tc>
        <w:tc>
          <w:tcPr>
            <w:tcW w:w="2693" w:type="dxa"/>
            <w:shd w:val="clear" w:color="auto" w:fill="auto"/>
          </w:tcPr>
          <w:p w14:paraId="2A7FB147" w14:textId="77777777" w:rsidR="00473906" w:rsidRDefault="00473906" w:rsidP="0057029D">
            <w:pPr>
              <w:pStyle w:val="Brezrazmikov"/>
              <w:jc w:val="center"/>
            </w:pPr>
            <w:r>
              <w:t>8.000</w:t>
            </w:r>
          </w:p>
        </w:tc>
      </w:tr>
      <w:tr w:rsidR="00473906" w14:paraId="2A7FB14B" w14:textId="77777777" w:rsidTr="0057029D">
        <w:tc>
          <w:tcPr>
            <w:tcW w:w="1101" w:type="dxa"/>
            <w:shd w:val="clear" w:color="auto" w:fill="auto"/>
          </w:tcPr>
          <w:p w14:paraId="2A7FB149" w14:textId="77777777" w:rsidR="00473906" w:rsidRDefault="00473906" w:rsidP="0057029D">
            <w:pPr>
              <w:pStyle w:val="Brezrazmikov"/>
              <w:jc w:val="right"/>
            </w:pPr>
            <w:r>
              <w:t>2021</w:t>
            </w:r>
          </w:p>
        </w:tc>
        <w:tc>
          <w:tcPr>
            <w:tcW w:w="2693" w:type="dxa"/>
            <w:shd w:val="clear" w:color="auto" w:fill="auto"/>
          </w:tcPr>
          <w:p w14:paraId="2A7FB14A" w14:textId="77777777" w:rsidR="00473906" w:rsidRDefault="00473906" w:rsidP="0057029D">
            <w:pPr>
              <w:pStyle w:val="Brezrazmikov"/>
              <w:jc w:val="center"/>
            </w:pPr>
            <w:r>
              <w:t>8.000</w:t>
            </w:r>
          </w:p>
        </w:tc>
      </w:tr>
      <w:tr w:rsidR="00473906" w14:paraId="2A7FB14E" w14:textId="77777777" w:rsidTr="0057029D">
        <w:tc>
          <w:tcPr>
            <w:tcW w:w="1101" w:type="dxa"/>
            <w:shd w:val="clear" w:color="auto" w:fill="auto"/>
          </w:tcPr>
          <w:p w14:paraId="2A7FB14C" w14:textId="77777777" w:rsidR="00473906" w:rsidRDefault="00473906" w:rsidP="0057029D">
            <w:pPr>
              <w:pStyle w:val="Brezrazmikov"/>
              <w:jc w:val="right"/>
            </w:pPr>
            <w:r>
              <w:t>2022</w:t>
            </w:r>
          </w:p>
        </w:tc>
        <w:tc>
          <w:tcPr>
            <w:tcW w:w="2693" w:type="dxa"/>
            <w:shd w:val="clear" w:color="auto" w:fill="auto"/>
          </w:tcPr>
          <w:p w14:paraId="2A7FB14D" w14:textId="77777777" w:rsidR="00473906" w:rsidRDefault="00473906" w:rsidP="0057029D">
            <w:pPr>
              <w:pStyle w:val="Brezrazmikov"/>
              <w:jc w:val="center"/>
            </w:pPr>
            <w:r>
              <w:t>8.000</w:t>
            </w:r>
          </w:p>
        </w:tc>
      </w:tr>
    </w:tbl>
    <w:p w14:paraId="2A7FB14F" w14:textId="77777777" w:rsidR="00473906" w:rsidRPr="00D67E24" w:rsidRDefault="00473906" w:rsidP="00473906">
      <w:r>
        <w:t>*</w:t>
      </w:r>
      <w:r w:rsidRPr="001844AC">
        <w:rPr>
          <w:sz w:val="18"/>
          <w:szCs w:val="18"/>
        </w:rPr>
        <w:t>op: stroški za investicijske projekte (energetska sanacija javnih stavb, postavitev fotovoltaike, kolesarska infrastruktura) bodo opredeljeni naknadno in vključeni v načrt finančnih obveznosti</w:t>
      </w:r>
    </w:p>
    <w:p w14:paraId="2A7FB150" w14:textId="77777777" w:rsidR="004667C4" w:rsidRDefault="004667C4"/>
    <w:p w14:paraId="2A7FB151" w14:textId="77777777" w:rsidR="00F7346B" w:rsidRDefault="00F7346B" w:rsidP="00F7346B">
      <w:pPr>
        <w:pStyle w:val="Naslov1"/>
      </w:pPr>
      <w:r>
        <w:t>Izvajanje LEK</w:t>
      </w:r>
    </w:p>
    <w:p w14:paraId="2A7FB152" w14:textId="77777777" w:rsidR="00977191" w:rsidRDefault="00F7346B" w:rsidP="00F7346B">
      <w:pPr>
        <w:jc w:val="both"/>
      </w:pPr>
      <w:r>
        <w:t>Občina potrdi LEK z akcijskim načrtom na seji občinskega sveta, o čemer mora obvestiti tudi pristojnega ministra. Ministrstvo pregleda predlog LEK in preveri vsebino ter usklajenost z nacionalnimi cilji</w:t>
      </w:r>
      <w:r w:rsidR="00977191">
        <w:t xml:space="preserve"> in izda soglasje, s čimer je LEK dokončno polno veljaven. Občina objavi LEK na svoji spletni strani.</w:t>
      </w:r>
    </w:p>
    <w:p w14:paraId="2A7FB153" w14:textId="77777777" w:rsidR="00977191" w:rsidRDefault="00977191" w:rsidP="00F7346B">
      <w:pPr>
        <w:jc w:val="both"/>
      </w:pPr>
      <w:r>
        <w:t>Za izvajanje LEK občina imenuje energetskega upravljavca, ki skrbi za izvajanje predvidenih aktivnosti, vsako leto prilagaja akcijski načrt dejanskemu stanju in možnostim financiranja ter o tem obvešča občinski svet. Energetski upravljavec tudi spremlja uspešnost in učinkovitost izvajanja LEK ter enkrat letno poroča občinskemu svetu ter pristojnemu ministrstvu. Več o imenovanju in delovanju energetskega upravljavca se nahaja v poglavju 11 Analiza možnih ukrepov, ukrep S1.</w:t>
      </w:r>
    </w:p>
    <w:p w14:paraId="2A7FB154" w14:textId="77777777" w:rsidR="00F7346B" w:rsidRDefault="005574FB" w:rsidP="00F7346B">
      <w:pPr>
        <w:jc w:val="both"/>
      </w:pPr>
      <w:r>
        <w:t>Bistvenega pomena je, da LEK ne ostane</w:t>
      </w:r>
      <w:r w:rsidR="00C01102">
        <w:t xml:space="preserve"> le eden od obveznih dokumentov, temveč, da se vsako leto pripravi realen in izvedljiv načrt aktivnosti, seveda na podlagi razpoložljivih sredstev in možnih virov financiranja. Uspešno izvajanje LEK namreč na dolgi rok prinaša finančne prihranke tako občinskemu proračunu kot tudi posameznim občanom in drugim porabnikom, hkrati pa izboljšuje energetsko oskrbo in neodvisnost ter zmanjšuje škodljive vplive na okolje.  </w:t>
      </w:r>
      <w:r w:rsidR="00F7346B">
        <w:t xml:space="preserve"> </w:t>
      </w:r>
    </w:p>
    <w:sectPr w:rsidR="00F7346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E7F45" w14:textId="77777777" w:rsidR="00796DC3" w:rsidRDefault="00796DC3" w:rsidP="00735D25">
      <w:pPr>
        <w:spacing w:after="0" w:line="240" w:lineRule="auto"/>
      </w:pPr>
      <w:r>
        <w:separator/>
      </w:r>
    </w:p>
  </w:endnote>
  <w:endnote w:type="continuationSeparator" w:id="0">
    <w:p w14:paraId="3C79CE8B" w14:textId="77777777" w:rsidR="00796DC3" w:rsidRDefault="00796DC3" w:rsidP="00735D25">
      <w:pPr>
        <w:spacing w:after="0" w:line="240" w:lineRule="auto"/>
      </w:pPr>
      <w:r>
        <w:continuationSeparator/>
      </w:r>
    </w:p>
  </w:endnote>
  <w:endnote w:type="continuationNotice" w:id="1">
    <w:p w14:paraId="0068AC1F" w14:textId="77777777" w:rsidR="00504165" w:rsidRDefault="00504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0551729"/>
      <w:docPartObj>
        <w:docPartGallery w:val="Page Numbers (Bottom of Page)"/>
        <w:docPartUnique/>
      </w:docPartObj>
    </w:sdtPr>
    <w:sdtEndPr/>
    <w:sdtContent>
      <w:sdt>
        <w:sdtPr>
          <w:id w:val="860082579"/>
          <w:docPartObj>
            <w:docPartGallery w:val="Page Numbers (Top of Page)"/>
            <w:docPartUnique/>
          </w:docPartObj>
        </w:sdtPr>
        <w:sdtEndPr/>
        <w:sdtContent>
          <w:p w14:paraId="2A7FB15D" w14:textId="77777777" w:rsidR="00796DC3" w:rsidRDefault="00796DC3">
            <w:pPr>
              <w:pStyle w:val="Noga"/>
              <w:jc w:val="right"/>
            </w:pPr>
            <w:r>
              <w:t xml:space="preserve">Stran </w:t>
            </w:r>
            <w:r>
              <w:rPr>
                <w:b/>
                <w:bCs/>
                <w:sz w:val="24"/>
                <w:szCs w:val="24"/>
              </w:rPr>
              <w:fldChar w:fldCharType="begin"/>
            </w:r>
            <w:r>
              <w:rPr>
                <w:b/>
                <w:bCs/>
              </w:rPr>
              <w:instrText>PAGE</w:instrText>
            </w:r>
            <w:r>
              <w:rPr>
                <w:b/>
                <w:bCs/>
                <w:sz w:val="24"/>
                <w:szCs w:val="24"/>
              </w:rPr>
              <w:fldChar w:fldCharType="separate"/>
            </w:r>
            <w:r w:rsidR="00642684">
              <w:rPr>
                <w:b/>
                <w:bCs/>
                <w:noProof/>
              </w:rPr>
              <w:t>4</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642684">
              <w:rPr>
                <w:b/>
                <w:bCs/>
                <w:noProof/>
              </w:rPr>
              <w:t>5</w:t>
            </w:r>
            <w:r>
              <w:rPr>
                <w:b/>
                <w:bCs/>
                <w:sz w:val="24"/>
                <w:szCs w:val="24"/>
              </w:rPr>
              <w:fldChar w:fldCharType="end"/>
            </w:r>
          </w:p>
        </w:sdtContent>
      </w:sdt>
    </w:sdtContent>
  </w:sdt>
  <w:p w14:paraId="2A7FB15E" w14:textId="77777777" w:rsidR="00796DC3" w:rsidRDefault="00796DC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1ACAC" w14:textId="77777777" w:rsidR="00796DC3" w:rsidRDefault="00796DC3" w:rsidP="00735D25">
      <w:pPr>
        <w:spacing w:after="0" w:line="240" w:lineRule="auto"/>
      </w:pPr>
      <w:r>
        <w:separator/>
      </w:r>
    </w:p>
  </w:footnote>
  <w:footnote w:type="continuationSeparator" w:id="0">
    <w:p w14:paraId="7610AF1D" w14:textId="77777777" w:rsidR="00796DC3" w:rsidRDefault="00796DC3" w:rsidP="00735D25">
      <w:pPr>
        <w:spacing w:after="0" w:line="240" w:lineRule="auto"/>
      </w:pPr>
      <w:r>
        <w:continuationSeparator/>
      </w:r>
    </w:p>
  </w:footnote>
  <w:footnote w:type="continuationNotice" w:id="1">
    <w:p w14:paraId="1E1BA7E0" w14:textId="77777777" w:rsidR="00504165" w:rsidRDefault="005041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FB15B" w14:textId="77777777" w:rsidR="001A3E7D" w:rsidRDefault="001A3E7D" w:rsidP="001A3E7D">
    <w:pPr>
      <w:pStyle w:val="Glava"/>
      <w:pBdr>
        <w:bottom w:val="single" w:sz="4" w:space="1" w:color="auto"/>
      </w:pBdr>
    </w:pPr>
    <w:r>
      <w:t>Lokalni energetski koncept</w:t>
    </w:r>
    <w:r>
      <w:tab/>
    </w:r>
    <w:r>
      <w:tab/>
      <w:t>Občina Renče-Vogrsko</w:t>
    </w:r>
  </w:p>
  <w:p w14:paraId="2A7FB15C" w14:textId="77777777" w:rsidR="001A3E7D" w:rsidRDefault="001A3E7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807D8"/>
    <w:multiLevelType w:val="hybridMultilevel"/>
    <w:tmpl w:val="2216124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646DAF"/>
    <w:multiLevelType w:val="hybridMultilevel"/>
    <w:tmpl w:val="209C7AB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A8629B3"/>
    <w:multiLevelType w:val="multilevel"/>
    <w:tmpl w:val="0C4AECBC"/>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1.%2.%3"/>
      <w:lvlJc w:val="left"/>
      <w:pPr>
        <w:ind w:left="143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 w15:restartNumberingAfterBreak="0">
    <w:nsid w:val="590A1CC2"/>
    <w:multiLevelType w:val="hybridMultilevel"/>
    <w:tmpl w:val="E578AD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A6F7F64"/>
    <w:multiLevelType w:val="hybridMultilevel"/>
    <w:tmpl w:val="FA08B7F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8C8545E"/>
    <w:multiLevelType w:val="hybridMultilevel"/>
    <w:tmpl w:val="D3141F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79051378">
    <w:abstractNumId w:val="4"/>
  </w:num>
  <w:num w:numId="2" w16cid:durableId="44989129">
    <w:abstractNumId w:val="2"/>
  </w:num>
  <w:num w:numId="3" w16cid:durableId="206458503">
    <w:abstractNumId w:val="3"/>
  </w:num>
  <w:num w:numId="4" w16cid:durableId="1172379156">
    <w:abstractNumId w:val="0"/>
  </w:num>
  <w:num w:numId="5" w16cid:durableId="209391219">
    <w:abstractNumId w:val="1"/>
  </w:num>
  <w:num w:numId="6" w16cid:durableId="2084446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D25"/>
    <w:rsid w:val="00086787"/>
    <w:rsid w:val="000F48B4"/>
    <w:rsid w:val="001A3E7D"/>
    <w:rsid w:val="00244AD9"/>
    <w:rsid w:val="002C1FB3"/>
    <w:rsid w:val="004667C4"/>
    <w:rsid w:val="00473906"/>
    <w:rsid w:val="00504165"/>
    <w:rsid w:val="00551F95"/>
    <w:rsid w:val="005574FB"/>
    <w:rsid w:val="00642684"/>
    <w:rsid w:val="00665F01"/>
    <w:rsid w:val="006F7A1D"/>
    <w:rsid w:val="00735D25"/>
    <w:rsid w:val="00796DC3"/>
    <w:rsid w:val="008D2D22"/>
    <w:rsid w:val="00977191"/>
    <w:rsid w:val="00A960C7"/>
    <w:rsid w:val="00BE26DC"/>
    <w:rsid w:val="00BF2ABC"/>
    <w:rsid w:val="00C01102"/>
    <w:rsid w:val="00D47744"/>
    <w:rsid w:val="00F734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B0B8"/>
  <w15:docId w15:val="{955EE5A4-DE05-49D5-9C0A-38B7F5B4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35D25"/>
    <w:rPr>
      <w:rFonts w:ascii="Calibri" w:eastAsia="Calibri" w:hAnsi="Calibri" w:cs="Times New Roman"/>
    </w:rPr>
  </w:style>
  <w:style w:type="paragraph" w:styleId="Naslov1">
    <w:name w:val="heading 1"/>
    <w:basedOn w:val="Navaden"/>
    <w:next w:val="Navaden"/>
    <w:link w:val="Naslov1Znak"/>
    <w:uiPriority w:val="9"/>
    <w:qFormat/>
    <w:rsid w:val="00735D25"/>
    <w:pPr>
      <w:keepNext/>
      <w:keepLines/>
      <w:numPr>
        <w:numId w:val="2"/>
      </w:numPr>
      <w:spacing w:before="480" w:after="0"/>
      <w:outlineLvl w:val="0"/>
    </w:pPr>
    <w:rPr>
      <w:rFonts w:ascii="Cambria" w:eastAsia="Times New Roman" w:hAnsi="Cambria"/>
      <w:b/>
      <w:bCs/>
      <w:color w:val="365F91"/>
      <w:sz w:val="28"/>
      <w:szCs w:val="28"/>
      <w:lang w:val="x-none" w:eastAsia="x-none"/>
    </w:rPr>
  </w:style>
  <w:style w:type="paragraph" w:styleId="Naslov2">
    <w:name w:val="heading 2"/>
    <w:basedOn w:val="Naslov1"/>
    <w:next w:val="Navaden"/>
    <w:link w:val="Naslov2Znak"/>
    <w:uiPriority w:val="9"/>
    <w:qFormat/>
    <w:rsid w:val="00735D25"/>
    <w:pPr>
      <w:numPr>
        <w:ilvl w:val="1"/>
      </w:numPr>
      <w:outlineLvl w:val="1"/>
    </w:pPr>
  </w:style>
  <w:style w:type="paragraph" w:styleId="Naslov3">
    <w:name w:val="heading 3"/>
    <w:basedOn w:val="Navaden"/>
    <w:next w:val="Navaden"/>
    <w:link w:val="Naslov3Znak"/>
    <w:uiPriority w:val="9"/>
    <w:qFormat/>
    <w:rsid w:val="00735D25"/>
    <w:pPr>
      <w:keepNext/>
      <w:keepLines/>
      <w:numPr>
        <w:ilvl w:val="2"/>
        <w:numId w:val="2"/>
      </w:numPr>
      <w:spacing w:before="200" w:after="0"/>
      <w:outlineLvl w:val="2"/>
    </w:pPr>
    <w:rPr>
      <w:rFonts w:ascii="Cambria" w:eastAsia="Times New Roman" w:hAnsi="Cambria"/>
      <w:b/>
      <w:bCs/>
      <w:color w:val="4F81BD"/>
      <w:sz w:val="20"/>
      <w:szCs w:val="20"/>
      <w:lang w:val="x-none" w:eastAsia="x-none"/>
    </w:rPr>
  </w:style>
  <w:style w:type="paragraph" w:styleId="Naslov4">
    <w:name w:val="heading 4"/>
    <w:basedOn w:val="Navaden"/>
    <w:next w:val="Navaden"/>
    <w:link w:val="Naslov4Znak"/>
    <w:uiPriority w:val="9"/>
    <w:qFormat/>
    <w:rsid w:val="00735D25"/>
    <w:pPr>
      <w:keepNext/>
      <w:numPr>
        <w:ilvl w:val="3"/>
        <w:numId w:val="2"/>
      </w:numPr>
      <w:spacing w:before="240" w:after="60"/>
      <w:outlineLvl w:val="3"/>
    </w:pPr>
    <w:rPr>
      <w:rFonts w:eastAsia="Times New Roman"/>
      <w:b/>
      <w:bCs/>
      <w:sz w:val="28"/>
      <w:szCs w:val="28"/>
      <w:lang w:val="x-none"/>
    </w:rPr>
  </w:style>
  <w:style w:type="paragraph" w:styleId="Naslov5">
    <w:name w:val="heading 5"/>
    <w:basedOn w:val="Navaden"/>
    <w:next w:val="Navaden"/>
    <w:link w:val="Naslov5Znak"/>
    <w:uiPriority w:val="9"/>
    <w:qFormat/>
    <w:rsid w:val="00735D25"/>
    <w:pPr>
      <w:numPr>
        <w:ilvl w:val="4"/>
        <w:numId w:val="2"/>
      </w:numPr>
      <w:spacing w:before="240" w:after="60"/>
      <w:outlineLvl w:val="4"/>
    </w:pPr>
    <w:rPr>
      <w:rFonts w:eastAsia="Times New Roman"/>
      <w:b/>
      <w:bCs/>
      <w:i/>
      <w:iCs/>
      <w:sz w:val="26"/>
      <w:szCs w:val="26"/>
      <w:lang w:val="x-none"/>
    </w:rPr>
  </w:style>
  <w:style w:type="paragraph" w:styleId="Naslov6">
    <w:name w:val="heading 6"/>
    <w:basedOn w:val="Navaden"/>
    <w:next w:val="Navaden"/>
    <w:link w:val="Naslov6Znak"/>
    <w:uiPriority w:val="9"/>
    <w:qFormat/>
    <w:rsid w:val="00735D25"/>
    <w:pPr>
      <w:numPr>
        <w:ilvl w:val="5"/>
        <w:numId w:val="2"/>
      </w:numPr>
      <w:spacing w:before="240" w:after="60"/>
      <w:outlineLvl w:val="5"/>
    </w:pPr>
    <w:rPr>
      <w:rFonts w:eastAsia="Times New Roman"/>
      <w:b/>
      <w:bCs/>
      <w:lang w:val="x-none"/>
    </w:rPr>
  </w:style>
  <w:style w:type="paragraph" w:styleId="Naslov7">
    <w:name w:val="heading 7"/>
    <w:basedOn w:val="Navaden"/>
    <w:next w:val="Navaden"/>
    <w:link w:val="Naslov7Znak"/>
    <w:uiPriority w:val="9"/>
    <w:qFormat/>
    <w:rsid w:val="00735D25"/>
    <w:pPr>
      <w:numPr>
        <w:ilvl w:val="6"/>
        <w:numId w:val="2"/>
      </w:numPr>
      <w:spacing w:before="240" w:after="60"/>
      <w:outlineLvl w:val="6"/>
    </w:pPr>
    <w:rPr>
      <w:rFonts w:eastAsia="Times New Roman"/>
      <w:sz w:val="24"/>
      <w:szCs w:val="24"/>
      <w:lang w:val="x-none"/>
    </w:rPr>
  </w:style>
  <w:style w:type="paragraph" w:styleId="Naslov8">
    <w:name w:val="heading 8"/>
    <w:basedOn w:val="Navaden"/>
    <w:next w:val="Navaden"/>
    <w:link w:val="Naslov8Znak"/>
    <w:uiPriority w:val="9"/>
    <w:qFormat/>
    <w:rsid w:val="00735D25"/>
    <w:pPr>
      <w:numPr>
        <w:ilvl w:val="7"/>
        <w:numId w:val="2"/>
      </w:numPr>
      <w:spacing w:before="240" w:after="60"/>
      <w:outlineLvl w:val="7"/>
    </w:pPr>
    <w:rPr>
      <w:rFonts w:eastAsia="Times New Roman"/>
      <w:i/>
      <w:iCs/>
      <w:sz w:val="24"/>
      <w:szCs w:val="24"/>
      <w:lang w:val="x-none"/>
    </w:rPr>
  </w:style>
  <w:style w:type="paragraph" w:styleId="Naslov9">
    <w:name w:val="heading 9"/>
    <w:basedOn w:val="Navaden"/>
    <w:next w:val="Navaden"/>
    <w:link w:val="Naslov9Znak"/>
    <w:uiPriority w:val="9"/>
    <w:qFormat/>
    <w:rsid w:val="00735D25"/>
    <w:pPr>
      <w:numPr>
        <w:ilvl w:val="8"/>
        <w:numId w:val="2"/>
      </w:numPr>
      <w:spacing w:before="240" w:after="60"/>
      <w:outlineLvl w:val="8"/>
    </w:pPr>
    <w:rPr>
      <w:rFonts w:ascii="Cambria" w:eastAsia="Times New Roman" w:hAnsi="Cambria"/>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35D25"/>
    <w:rPr>
      <w:rFonts w:ascii="Cambria" w:eastAsia="Times New Roman" w:hAnsi="Cambria" w:cs="Times New Roman"/>
      <w:b/>
      <w:bCs/>
      <w:color w:val="365F91"/>
      <w:sz w:val="28"/>
      <w:szCs w:val="28"/>
      <w:lang w:val="x-none" w:eastAsia="x-none"/>
    </w:rPr>
  </w:style>
  <w:style w:type="character" w:customStyle="1" w:styleId="Naslov2Znak">
    <w:name w:val="Naslov 2 Znak"/>
    <w:basedOn w:val="Privzetapisavaodstavka"/>
    <w:link w:val="Naslov2"/>
    <w:uiPriority w:val="9"/>
    <w:rsid w:val="00735D25"/>
    <w:rPr>
      <w:rFonts w:ascii="Cambria" w:eastAsia="Times New Roman" w:hAnsi="Cambria" w:cs="Times New Roman"/>
      <w:b/>
      <w:bCs/>
      <w:color w:val="365F91"/>
      <w:sz w:val="28"/>
      <w:szCs w:val="28"/>
      <w:lang w:val="x-none" w:eastAsia="x-none"/>
    </w:rPr>
  </w:style>
  <w:style w:type="character" w:customStyle="1" w:styleId="Naslov3Znak">
    <w:name w:val="Naslov 3 Znak"/>
    <w:basedOn w:val="Privzetapisavaodstavka"/>
    <w:link w:val="Naslov3"/>
    <w:uiPriority w:val="9"/>
    <w:rsid w:val="00735D25"/>
    <w:rPr>
      <w:rFonts w:ascii="Cambria" w:eastAsia="Times New Roman" w:hAnsi="Cambria" w:cs="Times New Roman"/>
      <w:b/>
      <w:bCs/>
      <w:color w:val="4F81BD"/>
      <w:sz w:val="20"/>
      <w:szCs w:val="20"/>
      <w:lang w:val="x-none" w:eastAsia="x-none"/>
    </w:rPr>
  </w:style>
  <w:style w:type="character" w:customStyle="1" w:styleId="Naslov4Znak">
    <w:name w:val="Naslov 4 Znak"/>
    <w:basedOn w:val="Privzetapisavaodstavka"/>
    <w:link w:val="Naslov4"/>
    <w:uiPriority w:val="9"/>
    <w:rsid w:val="00735D25"/>
    <w:rPr>
      <w:rFonts w:ascii="Calibri" w:eastAsia="Times New Roman" w:hAnsi="Calibri" w:cs="Times New Roman"/>
      <w:b/>
      <w:bCs/>
      <w:sz w:val="28"/>
      <w:szCs w:val="28"/>
      <w:lang w:val="x-none"/>
    </w:rPr>
  </w:style>
  <w:style w:type="character" w:customStyle="1" w:styleId="Naslov5Znak">
    <w:name w:val="Naslov 5 Znak"/>
    <w:basedOn w:val="Privzetapisavaodstavka"/>
    <w:link w:val="Naslov5"/>
    <w:uiPriority w:val="9"/>
    <w:rsid w:val="00735D25"/>
    <w:rPr>
      <w:rFonts w:ascii="Calibri" w:eastAsia="Times New Roman" w:hAnsi="Calibri" w:cs="Times New Roman"/>
      <w:b/>
      <w:bCs/>
      <w:i/>
      <w:iCs/>
      <w:sz w:val="26"/>
      <w:szCs w:val="26"/>
      <w:lang w:val="x-none"/>
    </w:rPr>
  </w:style>
  <w:style w:type="character" w:customStyle="1" w:styleId="Naslov6Znak">
    <w:name w:val="Naslov 6 Znak"/>
    <w:basedOn w:val="Privzetapisavaodstavka"/>
    <w:link w:val="Naslov6"/>
    <w:uiPriority w:val="9"/>
    <w:rsid w:val="00735D25"/>
    <w:rPr>
      <w:rFonts w:ascii="Calibri" w:eastAsia="Times New Roman" w:hAnsi="Calibri" w:cs="Times New Roman"/>
      <w:b/>
      <w:bCs/>
      <w:lang w:val="x-none"/>
    </w:rPr>
  </w:style>
  <w:style w:type="character" w:customStyle="1" w:styleId="Naslov7Znak">
    <w:name w:val="Naslov 7 Znak"/>
    <w:basedOn w:val="Privzetapisavaodstavka"/>
    <w:link w:val="Naslov7"/>
    <w:uiPriority w:val="9"/>
    <w:rsid w:val="00735D25"/>
    <w:rPr>
      <w:rFonts w:ascii="Calibri" w:eastAsia="Times New Roman" w:hAnsi="Calibri" w:cs="Times New Roman"/>
      <w:sz w:val="24"/>
      <w:szCs w:val="24"/>
      <w:lang w:val="x-none"/>
    </w:rPr>
  </w:style>
  <w:style w:type="character" w:customStyle="1" w:styleId="Naslov8Znak">
    <w:name w:val="Naslov 8 Znak"/>
    <w:basedOn w:val="Privzetapisavaodstavka"/>
    <w:link w:val="Naslov8"/>
    <w:uiPriority w:val="9"/>
    <w:rsid w:val="00735D25"/>
    <w:rPr>
      <w:rFonts w:ascii="Calibri" w:eastAsia="Times New Roman" w:hAnsi="Calibri" w:cs="Times New Roman"/>
      <w:i/>
      <w:iCs/>
      <w:sz w:val="24"/>
      <w:szCs w:val="24"/>
      <w:lang w:val="x-none"/>
    </w:rPr>
  </w:style>
  <w:style w:type="character" w:customStyle="1" w:styleId="Naslov9Znak">
    <w:name w:val="Naslov 9 Znak"/>
    <w:basedOn w:val="Privzetapisavaodstavka"/>
    <w:link w:val="Naslov9"/>
    <w:uiPriority w:val="9"/>
    <w:rsid w:val="00735D25"/>
    <w:rPr>
      <w:rFonts w:ascii="Cambria" w:eastAsia="Times New Roman" w:hAnsi="Cambria" w:cs="Times New Roman"/>
      <w:lang w:val="x-none"/>
    </w:rPr>
  </w:style>
  <w:style w:type="paragraph" w:styleId="Brezrazmikov">
    <w:name w:val="No Spacing"/>
    <w:qFormat/>
    <w:rsid w:val="00735D25"/>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735D2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5D25"/>
    <w:rPr>
      <w:rFonts w:ascii="Tahoma" w:eastAsia="Calibri" w:hAnsi="Tahoma" w:cs="Tahoma"/>
      <w:sz w:val="16"/>
      <w:szCs w:val="16"/>
    </w:rPr>
  </w:style>
  <w:style w:type="paragraph" w:styleId="Glava">
    <w:name w:val="header"/>
    <w:basedOn w:val="Navaden"/>
    <w:link w:val="GlavaZnak"/>
    <w:uiPriority w:val="99"/>
    <w:unhideWhenUsed/>
    <w:rsid w:val="00735D25"/>
    <w:pPr>
      <w:tabs>
        <w:tab w:val="center" w:pos="4536"/>
        <w:tab w:val="right" w:pos="9072"/>
      </w:tabs>
      <w:spacing w:after="0" w:line="240" w:lineRule="auto"/>
    </w:pPr>
  </w:style>
  <w:style w:type="character" w:customStyle="1" w:styleId="GlavaZnak">
    <w:name w:val="Glava Znak"/>
    <w:basedOn w:val="Privzetapisavaodstavka"/>
    <w:link w:val="Glava"/>
    <w:uiPriority w:val="99"/>
    <w:rsid w:val="00735D25"/>
    <w:rPr>
      <w:rFonts w:ascii="Calibri" w:eastAsia="Calibri" w:hAnsi="Calibri" w:cs="Times New Roman"/>
    </w:rPr>
  </w:style>
  <w:style w:type="paragraph" w:styleId="Noga">
    <w:name w:val="footer"/>
    <w:basedOn w:val="Navaden"/>
    <w:link w:val="NogaZnak"/>
    <w:uiPriority w:val="99"/>
    <w:unhideWhenUsed/>
    <w:rsid w:val="00735D25"/>
    <w:pPr>
      <w:tabs>
        <w:tab w:val="center" w:pos="4536"/>
        <w:tab w:val="right" w:pos="9072"/>
      </w:tabs>
      <w:spacing w:after="0" w:line="240" w:lineRule="auto"/>
    </w:pPr>
  </w:style>
  <w:style w:type="character" w:customStyle="1" w:styleId="NogaZnak">
    <w:name w:val="Noga Znak"/>
    <w:basedOn w:val="Privzetapisavaodstavka"/>
    <w:link w:val="Noga"/>
    <w:uiPriority w:val="99"/>
    <w:rsid w:val="00735D25"/>
    <w:rPr>
      <w:rFonts w:ascii="Calibri" w:eastAsia="Calibri" w:hAnsi="Calibri" w:cs="Times New Roman"/>
    </w:rPr>
  </w:style>
  <w:style w:type="paragraph" w:styleId="Odstavekseznama">
    <w:name w:val="List Paragraph"/>
    <w:basedOn w:val="Navaden"/>
    <w:uiPriority w:val="34"/>
    <w:qFormat/>
    <w:rsid w:val="00F7346B"/>
    <w:pPr>
      <w:ind w:left="720"/>
      <w:contextualSpacing/>
    </w:pPr>
  </w:style>
  <w:style w:type="paragraph" w:styleId="Napis">
    <w:name w:val="caption"/>
    <w:aliases w:val="TABELA,Slika,E-PVO-Tabela-Graf-Slika,Napis Znak2,Napis Znak1 Znak,E-PVO-Tabela-Graf-Slika Znak Znak,TABELA Znak Znak,Slika Znak Znak,Napis Znak Znak Znak,E-PVO-Tabela-Graf-Slika Znak1,TABELA Znak1,Slika Znak1,Napis Znak Znak1 Znak Znak Znak Znak"/>
    <w:basedOn w:val="Navaden"/>
    <w:next w:val="Navaden"/>
    <w:link w:val="NapisZnak"/>
    <w:qFormat/>
    <w:rsid w:val="00796DC3"/>
    <w:pPr>
      <w:spacing w:line="240" w:lineRule="auto"/>
    </w:pPr>
    <w:rPr>
      <w:b/>
      <w:bCs/>
      <w:color w:val="4F81BD"/>
      <w:sz w:val="18"/>
      <w:szCs w:val="18"/>
      <w:lang w:val="x-none"/>
    </w:rPr>
  </w:style>
  <w:style w:type="character" w:customStyle="1" w:styleId="NapisZnak">
    <w:name w:val="Napis Znak"/>
    <w:aliases w:val="TABELA Znak,Slika Znak,E-PVO-Tabela-Graf-Slika Znak,Napis Znak2 Znak,Napis Znak1 Znak Znak,E-PVO-Tabela-Graf-Slika Znak Znak Znak,TABELA Znak Znak Znak,Slika Znak Znak Znak,Napis Znak Znak Znak Znak,E-PVO-Tabela-Graf-Slika Znak1 Znak"/>
    <w:link w:val="Napis"/>
    <w:rsid w:val="00796DC3"/>
    <w:rPr>
      <w:rFonts w:ascii="Calibri" w:eastAsia="Calibri" w:hAnsi="Calibri" w:cs="Times New Roman"/>
      <w:b/>
      <w:bCs/>
      <w:color w:val="4F81BD"/>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tempus-sbs\tempus\A.ERM\008.%20LEK%20Ren&#269;e-Vogrsko\Izra&#269;uni_Ren&#269;e_Vogrsko.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v>ELKO</c:v>
          </c:tx>
          <c:invertIfNegative val="0"/>
          <c:cat>
            <c:strRef>
              <c:f>'7 emisije'!$D$79:$I$79</c:f>
              <c:strCache>
                <c:ptCount val="6"/>
                <c:pt idx="0">
                  <c:v>CO2*100 (kg/a)</c:v>
                </c:pt>
                <c:pt idx="1">
                  <c:v>SO2 (kg/a)</c:v>
                </c:pt>
                <c:pt idx="2">
                  <c:v>NOx (kg/a)</c:v>
                </c:pt>
                <c:pt idx="3">
                  <c:v>CxHy(kg/a)</c:v>
                </c:pt>
                <c:pt idx="4">
                  <c:v>CO (kg/a)</c:v>
                </c:pt>
                <c:pt idx="5">
                  <c:v>Prah (kg/a)</c:v>
                </c:pt>
              </c:strCache>
            </c:strRef>
          </c:cat>
          <c:val>
            <c:numRef>
              <c:f>'7 emisije'!$D$80:$I$80</c:f>
              <c:numCache>
                <c:formatCode>#,##0</c:formatCode>
                <c:ptCount val="6"/>
                <c:pt idx="0">
                  <c:v>38637.337139500989</c:v>
                </c:pt>
                <c:pt idx="1">
                  <c:v>6265.5141307298909</c:v>
                </c:pt>
                <c:pt idx="2">
                  <c:v>2088.5047102432968</c:v>
                </c:pt>
                <c:pt idx="3">
                  <c:v>313.27570653649451</c:v>
                </c:pt>
                <c:pt idx="4">
                  <c:v>2349.5677990237091</c:v>
                </c:pt>
                <c:pt idx="5">
                  <c:v>261.0630887804121</c:v>
                </c:pt>
              </c:numCache>
            </c:numRef>
          </c:val>
          <c:extLst>
            <c:ext xmlns:c16="http://schemas.microsoft.com/office/drawing/2014/chart" uri="{C3380CC4-5D6E-409C-BE32-E72D297353CC}">
              <c16:uniqueId val="{00000000-1EAD-4C31-9B76-8A57EE79A1BD}"/>
            </c:ext>
          </c:extLst>
        </c:ser>
        <c:ser>
          <c:idx val="1"/>
          <c:order val="1"/>
          <c:tx>
            <c:v>UNP</c:v>
          </c:tx>
          <c:invertIfNegative val="0"/>
          <c:cat>
            <c:strRef>
              <c:f>'7 emisije'!$D$79:$I$79</c:f>
              <c:strCache>
                <c:ptCount val="6"/>
                <c:pt idx="0">
                  <c:v>CO2*100 (kg/a)</c:v>
                </c:pt>
                <c:pt idx="1">
                  <c:v>SO2 (kg/a)</c:v>
                </c:pt>
                <c:pt idx="2">
                  <c:v>NOx (kg/a)</c:v>
                </c:pt>
                <c:pt idx="3">
                  <c:v>CxHy(kg/a)</c:v>
                </c:pt>
                <c:pt idx="4">
                  <c:v>CO (kg/a)</c:v>
                </c:pt>
                <c:pt idx="5">
                  <c:v>Prah (kg/a)</c:v>
                </c:pt>
              </c:strCache>
            </c:strRef>
          </c:cat>
          <c:val>
            <c:numRef>
              <c:f>'7 emisije'!$D$81:$I$81</c:f>
              <c:numCache>
                <c:formatCode>#,##0</c:formatCode>
                <c:ptCount val="6"/>
                <c:pt idx="0">
                  <c:v>2660.8594574747576</c:v>
                </c:pt>
                <c:pt idx="1">
                  <c:v>14.513778858953224</c:v>
                </c:pt>
                <c:pt idx="2">
                  <c:v>483.79262863177411</c:v>
                </c:pt>
                <c:pt idx="3">
                  <c:v>29.027557717906447</c:v>
                </c:pt>
                <c:pt idx="4">
                  <c:v>241.89631431588705</c:v>
                </c:pt>
                <c:pt idx="5">
                  <c:v>4.8379262863177415</c:v>
                </c:pt>
              </c:numCache>
            </c:numRef>
          </c:val>
          <c:extLst>
            <c:ext xmlns:c16="http://schemas.microsoft.com/office/drawing/2014/chart" uri="{C3380CC4-5D6E-409C-BE32-E72D297353CC}">
              <c16:uniqueId val="{00000001-1EAD-4C31-9B76-8A57EE79A1BD}"/>
            </c:ext>
          </c:extLst>
        </c:ser>
        <c:ser>
          <c:idx val="2"/>
          <c:order val="2"/>
          <c:tx>
            <c:v>Les</c:v>
          </c:tx>
          <c:invertIfNegative val="0"/>
          <c:cat>
            <c:strRef>
              <c:f>'7 emisije'!$D$79:$I$79</c:f>
              <c:strCache>
                <c:ptCount val="6"/>
                <c:pt idx="0">
                  <c:v>CO2*100 (kg/a)</c:v>
                </c:pt>
                <c:pt idx="1">
                  <c:v>SO2 (kg/a)</c:v>
                </c:pt>
                <c:pt idx="2">
                  <c:v>NOx (kg/a)</c:v>
                </c:pt>
                <c:pt idx="3">
                  <c:v>CxHy(kg/a)</c:v>
                </c:pt>
                <c:pt idx="4">
                  <c:v>CO (kg/a)</c:v>
                </c:pt>
                <c:pt idx="5">
                  <c:v>Prah (kg/a)</c:v>
                </c:pt>
              </c:strCache>
            </c:strRef>
          </c:cat>
          <c:val>
            <c:numRef>
              <c:f>'7 emisije'!$D$82:$I$82</c:f>
              <c:numCache>
                <c:formatCode>#,##0</c:formatCode>
                <c:ptCount val="6"/>
                <c:pt idx="0">
                  <c:v>0</c:v>
                </c:pt>
                <c:pt idx="1">
                  <c:v>375.21924916052097</c:v>
                </c:pt>
                <c:pt idx="2">
                  <c:v>2899.4214707858441</c:v>
                </c:pt>
                <c:pt idx="3">
                  <c:v>2899.4214707858441</c:v>
                </c:pt>
                <c:pt idx="4">
                  <c:v>81866.017998659125</c:v>
                </c:pt>
                <c:pt idx="5">
                  <c:v>1193.8794291471122</c:v>
                </c:pt>
              </c:numCache>
            </c:numRef>
          </c:val>
          <c:extLst>
            <c:ext xmlns:c16="http://schemas.microsoft.com/office/drawing/2014/chart" uri="{C3380CC4-5D6E-409C-BE32-E72D297353CC}">
              <c16:uniqueId val="{00000002-1EAD-4C31-9B76-8A57EE79A1BD}"/>
            </c:ext>
          </c:extLst>
        </c:ser>
        <c:ser>
          <c:idx val="3"/>
          <c:order val="3"/>
          <c:tx>
            <c:v>Zemeljski plin</c:v>
          </c:tx>
          <c:invertIfNegative val="0"/>
          <c:cat>
            <c:strRef>
              <c:f>'7 emisije'!$D$79:$I$79</c:f>
              <c:strCache>
                <c:ptCount val="6"/>
                <c:pt idx="0">
                  <c:v>CO2*100 (kg/a)</c:v>
                </c:pt>
                <c:pt idx="1">
                  <c:v>SO2 (kg/a)</c:v>
                </c:pt>
                <c:pt idx="2">
                  <c:v>NOx (kg/a)</c:v>
                </c:pt>
                <c:pt idx="3">
                  <c:v>CxHy(kg/a)</c:v>
                </c:pt>
                <c:pt idx="4">
                  <c:v>CO (kg/a)</c:v>
                </c:pt>
                <c:pt idx="5">
                  <c:v>Prah (kg/a)</c:v>
                </c:pt>
              </c:strCache>
            </c:strRef>
          </c:cat>
          <c:val>
            <c:numRef>
              <c:f>'7 emisije'!$D$83:$I$83</c:f>
              <c:numCache>
                <c:formatCode>#,##0</c:formatCode>
                <c:ptCount val="6"/>
                <c:pt idx="0">
                  <c:v>159218.95649794806</c:v>
                </c:pt>
                <c:pt idx="1">
                  <c:v>0</c:v>
                </c:pt>
                <c:pt idx="2">
                  <c:v>8379.9450788393715</c:v>
                </c:pt>
                <c:pt idx="3">
                  <c:v>1675.9890157678742</c:v>
                </c:pt>
                <c:pt idx="4">
                  <c:v>9776.6025919792664</c:v>
                </c:pt>
                <c:pt idx="5">
                  <c:v>0</c:v>
                </c:pt>
              </c:numCache>
            </c:numRef>
          </c:val>
          <c:extLst>
            <c:ext xmlns:c16="http://schemas.microsoft.com/office/drawing/2014/chart" uri="{C3380CC4-5D6E-409C-BE32-E72D297353CC}">
              <c16:uniqueId val="{00000003-1EAD-4C31-9B76-8A57EE79A1BD}"/>
            </c:ext>
          </c:extLst>
        </c:ser>
        <c:ser>
          <c:idx val="4"/>
          <c:order val="4"/>
          <c:tx>
            <c:v>Premog</c:v>
          </c:tx>
          <c:invertIfNegative val="0"/>
          <c:cat>
            <c:strRef>
              <c:f>'7 emisije'!$D$79:$I$79</c:f>
              <c:strCache>
                <c:ptCount val="6"/>
                <c:pt idx="0">
                  <c:v>CO2*100 (kg/a)</c:v>
                </c:pt>
                <c:pt idx="1">
                  <c:v>SO2 (kg/a)</c:v>
                </c:pt>
                <c:pt idx="2">
                  <c:v>NOx (kg/a)</c:v>
                </c:pt>
                <c:pt idx="3">
                  <c:v>CxHy(kg/a)</c:v>
                </c:pt>
                <c:pt idx="4">
                  <c:v>CO (kg/a)</c:v>
                </c:pt>
                <c:pt idx="5">
                  <c:v>Prah (kg/a)</c:v>
                </c:pt>
              </c:strCache>
            </c:strRef>
          </c:cat>
          <c:val>
            <c:numRef>
              <c:f>'7 emisije'!$D$84:$I$84</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4-1EAD-4C31-9B76-8A57EE79A1BD}"/>
            </c:ext>
          </c:extLst>
        </c:ser>
        <c:ser>
          <c:idx val="5"/>
          <c:order val="5"/>
          <c:tx>
            <c:v>Električna energija</c:v>
          </c:tx>
          <c:invertIfNegative val="0"/>
          <c:cat>
            <c:strRef>
              <c:f>'7 emisije'!$D$79:$I$79</c:f>
              <c:strCache>
                <c:ptCount val="6"/>
                <c:pt idx="0">
                  <c:v>CO2*100 (kg/a)</c:v>
                </c:pt>
                <c:pt idx="1">
                  <c:v>SO2 (kg/a)</c:v>
                </c:pt>
                <c:pt idx="2">
                  <c:v>NOx (kg/a)</c:v>
                </c:pt>
                <c:pt idx="3">
                  <c:v>CxHy(kg/a)</c:v>
                </c:pt>
                <c:pt idx="4">
                  <c:v>CO (kg/a)</c:v>
                </c:pt>
                <c:pt idx="5">
                  <c:v>Prah (kg/a)</c:v>
                </c:pt>
              </c:strCache>
            </c:strRef>
          </c:cat>
          <c:val>
            <c:numRef>
              <c:f>'7 emisije'!$D$85:$I$85</c:f>
              <c:numCache>
                <c:formatCode>#,##0</c:formatCode>
                <c:ptCount val="6"/>
                <c:pt idx="0">
                  <c:v>80320.608118655044</c:v>
                </c:pt>
                <c:pt idx="1">
                  <c:v>46605.242422060619</c:v>
                </c:pt>
                <c:pt idx="2">
                  <c:v>41748.120383036934</c:v>
                </c:pt>
                <c:pt idx="3">
                  <c:v>17693.80171358629</c:v>
                </c:pt>
                <c:pt idx="4">
                  <c:v>102809.08315933472</c:v>
                </c:pt>
                <c:pt idx="5">
                  <c:v>1619.0406796745626</c:v>
                </c:pt>
              </c:numCache>
            </c:numRef>
          </c:val>
          <c:extLst>
            <c:ext xmlns:c16="http://schemas.microsoft.com/office/drawing/2014/chart" uri="{C3380CC4-5D6E-409C-BE32-E72D297353CC}">
              <c16:uniqueId val="{00000005-1EAD-4C31-9B76-8A57EE79A1BD}"/>
            </c:ext>
          </c:extLst>
        </c:ser>
        <c:dLbls>
          <c:showLegendKey val="0"/>
          <c:showVal val="0"/>
          <c:showCatName val="0"/>
          <c:showSerName val="0"/>
          <c:showPercent val="0"/>
          <c:showBubbleSize val="0"/>
        </c:dLbls>
        <c:gapWidth val="150"/>
        <c:overlap val="100"/>
        <c:axId val="47127552"/>
        <c:axId val="75246976"/>
      </c:barChart>
      <c:catAx>
        <c:axId val="47127552"/>
        <c:scaling>
          <c:orientation val="minMax"/>
        </c:scaling>
        <c:delete val="0"/>
        <c:axPos val="b"/>
        <c:numFmt formatCode="General" sourceLinked="1"/>
        <c:majorTickMark val="out"/>
        <c:minorTickMark val="none"/>
        <c:tickLblPos val="nextTo"/>
        <c:crossAx val="75246976"/>
        <c:crosses val="autoZero"/>
        <c:auto val="1"/>
        <c:lblAlgn val="ctr"/>
        <c:lblOffset val="100"/>
        <c:noMultiLvlLbl val="0"/>
      </c:catAx>
      <c:valAx>
        <c:axId val="75246976"/>
        <c:scaling>
          <c:orientation val="minMax"/>
        </c:scaling>
        <c:delete val="0"/>
        <c:axPos val="l"/>
        <c:majorGridlines/>
        <c:numFmt formatCode="#,##0" sourceLinked="1"/>
        <c:majorTickMark val="out"/>
        <c:minorTickMark val="none"/>
        <c:tickLblPos val="nextTo"/>
        <c:crossAx val="4712755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f701f9d-2bdf-4c3a-8e47-608ca9587be1">
      <UserInfo>
        <DisplayName/>
        <AccountId xsi:nil="true"/>
        <AccountType/>
      </UserInfo>
    </SharedWithUsers>
    <lcf76f155ced4ddcb4097134ff3c332f xmlns="8a2ea86e-3822-4566-8b85-97639c200d75">
      <Terms xmlns="http://schemas.microsoft.com/office/infopath/2007/PartnerControls"/>
    </lcf76f155ced4ddcb4097134ff3c332f>
    <TaxCatchAll xmlns="2f701f9d-2bdf-4c3a-8e47-608ca9587b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18506F88471408D6C16FB09721D86" ma:contentTypeVersion="18" ma:contentTypeDescription="Create a new document." ma:contentTypeScope="" ma:versionID="cafa45ee84cdd309a4b0d9812d7fdcc2">
  <xsd:schema xmlns:xsd="http://www.w3.org/2001/XMLSchema" xmlns:xs="http://www.w3.org/2001/XMLSchema" xmlns:p="http://schemas.microsoft.com/office/2006/metadata/properties" xmlns:ns2="2f701f9d-2bdf-4c3a-8e47-608ca9587be1" xmlns:ns3="8a2ea86e-3822-4566-8b85-97639c200d75" targetNamespace="http://schemas.microsoft.com/office/2006/metadata/properties" ma:root="true" ma:fieldsID="021fd27ffe53167d7a7cb1a051c789ab" ns2:_="" ns3:_="">
    <xsd:import namespace="2f701f9d-2bdf-4c3a-8e47-608ca9587be1"/>
    <xsd:import namespace="8a2ea86e-3822-4566-8b85-97639c200d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01f9d-2bdf-4c3a-8e47-608ca9587b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d89411-2ae6-4b7a-be09-7197a80b9ed7}" ma:internalName="TaxCatchAll" ma:showField="CatchAllData" ma:web="2f701f9d-2bdf-4c3a-8e47-608ca9587b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2ea86e-3822-4566-8b85-97639c200d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c5b418-0257-47ed-9963-c1809dee4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C8B45-4BD5-4FA6-B39A-B3EE0F8D8C97}">
  <ds:schemaRefs>
    <ds:schemaRef ds:uri="http://schemas.microsoft.com/sharepoint/v3/contenttype/forms"/>
  </ds:schemaRefs>
</ds:datastoreItem>
</file>

<file path=customXml/itemProps2.xml><?xml version="1.0" encoding="utf-8"?>
<ds:datastoreItem xmlns:ds="http://schemas.openxmlformats.org/officeDocument/2006/customXml" ds:itemID="{DBE564B0-D385-47F3-82D6-43BF0F4C7651}">
  <ds:schemaRefs>
    <ds:schemaRef ds:uri="http://schemas.microsoft.com/office/2006/metadata/properties"/>
    <ds:schemaRef ds:uri="http://schemas.microsoft.com/office/infopath/2007/PartnerControls"/>
    <ds:schemaRef ds:uri="2f701f9d-2bdf-4c3a-8e47-608ca9587be1"/>
    <ds:schemaRef ds:uri="8a2ea86e-3822-4566-8b85-97639c200d75"/>
  </ds:schemaRefs>
</ds:datastoreItem>
</file>

<file path=customXml/itemProps3.xml><?xml version="1.0" encoding="utf-8"?>
<ds:datastoreItem xmlns:ds="http://schemas.openxmlformats.org/officeDocument/2006/customXml" ds:itemID="{E945763D-D2C9-403F-91F7-22B96A9DA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01f9d-2bdf-4c3a-8e47-608ca9587be1"/>
    <ds:schemaRef ds:uri="8a2ea86e-3822-4566-8b85-97639c200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1560</Words>
  <Characters>8892</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Primož Blaha</dc:creator>
  <cp:lastModifiedBy>Teja Koršič</cp:lastModifiedBy>
  <cp:revision>9</cp:revision>
  <cp:lastPrinted>2012-03-23T08:42:00Z</cp:lastPrinted>
  <dcterms:created xsi:type="dcterms:W3CDTF">2012-06-28T10:23:00Z</dcterms:created>
  <dcterms:modified xsi:type="dcterms:W3CDTF">2024-05-07T12:22:00Z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0x010100A5318506F88471408D6C16FB09721D86</vt:lpwstr>
  </property>
  <property fmtid="{D5CDD505-2E9C-101B-9397-08002B2CF9AE}" pid="3" name="Order">
    <vt:r8>11967800</vt:r8>
  </property>
  <property fmtid="{D5CDD505-2E9C-101B-9397-08002B2CF9AE}" pid="4" name="ComplianceAssetId">
    <vt:lpwstr/>
  </property>
  <property fmtid="{D5CDD505-2E9C-101B-9397-08002B2CF9AE}" pid="5" name="MediaServiceImageTags">
    <vt:lpwstr/>
  </property>
</Properties>
</file>