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bookmarkStart w:id="0" w:name="_GoBack"/>
      <w:bookmarkEnd w:id="0"/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625CB6">
        <w:rPr>
          <w:rFonts w:eastAsia="Times New Roman" w:cs="Arial"/>
          <w:b/>
          <w:sz w:val="20"/>
          <w:szCs w:val="20"/>
          <w:lang w:eastAsia="sl-SI"/>
        </w:rPr>
        <w:t>OBČINA RENČE-VOGRSKO</w:t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sz w:val="20"/>
          <w:szCs w:val="20"/>
          <w:lang w:eastAsia="sl-SI"/>
        </w:rPr>
        <w:tab/>
      </w:r>
      <w:r w:rsidRPr="00625CB6">
        <w:rPr>
          <w:rFonts w:eastAsia="Times New Roman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1A68FD" w:rsidRPr="00625CB6" w:rsidRDefault="001A68FD" w:rsidP="001A68FD">
      <w:pPr>
        <w:spacing w:after="0" w:line="240" w:lineRule="auto"/>
        <w:ind w:left="3540" w:firstLine="708"/>
        <w:jc w:val="both"/>
        <w:rPr>
          <w:rFonts w:eastAsia="Times New Roman" w:cs="Arial"/>
          <w:color w:val="FF0000"/>
          <w:sz w:val="18"/>
          <w:szCs w:val="18"/>
          <w:lang w:eastAsia="sl-SI"/>
        </w:rPr>
      </w:pPr>
    </w:p>
    <w:p w:rsidR="001A68FD" w:rsidRPr="00625CB6" w:rsidRDefault="001A68FD" w:rsidP="001A68FD">
      <w:pPr>
        <w:spacing w:after="0" w:line="240" w:lineRule="auto"/>
        <w:ind w:left="3540" w:firstLine="708"/>
        <w:jc w:val="both"/>
        <w:rPr>
          <w:rFonts w:eastAsia="Times New Roman" w:cs="Arial"/>
          <w:color w:val="FF0000"/>
          <w:sz w:val="18"/>
          <w:szCs w:val="18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NASLOV:</w:t>
      </w:r>
      <w:r w:rsidRPr="00625CB6">
        <w:rPr>
          <w:rFonts w:eastAsia="Times New Roman" w:cs="Arial"/>
          <w:szCs w:val="22"/>
          <w:lang w:eastAsia="sl-SI"/>
        </w:rPr>
        <w:t xml:space="preserve"> 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lang w:eastAsia="sl-SI"/>
        </w:rPr>
      </w:pPr>
      <w:r w:rsidRPr="00625CB6">
        <w:rPr>
          <w:rFonts w:eastAsia="Times New Roman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color w:val="FF0000"/>
          <w:sz w:val="18"/>
          <w:szCs w:val="18"/>
          <w:lang w:eastAsia="sl-SI"/>
        </w:rPr>
      </w:pPr>
      <w:r w:rsidRPr="00625CB6">
        <w:rPr>
          <w:rFonts w:eastAsia="Times New Roman" w:cs="Arial"/>
          <w:b/>
          <w:sz w:val="28"/>
          <w:szCs w:val="28"/>
          <w:lang w:eastAsia="sl-SI"/>
        </w:rPr>
        <w:t xml:space="preserve">SOGLASJE LJUDSKI UNIVERZI NOVA GORICA K RAZPOREDITVI PRESEŽKA PRIHODKOV NAD ODHODKI ZA </w:t>
      </w:r>
      <w:r>
        <w:rPr>
          <w:rFonts w:eastAsia="Times New Roman" w:cs="Arial"/>
          <w:b/>
          <w:sz w:val="28"/>
          <w:szCs w:val="28"/>
          <w:lang w:eastAsia="sl-SI"/>
        </w:rPr>
        <w:t>OBDOBJE OD LETA 2017 DO LETA 2022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PRAVNA PODLAGA:</w:t>
      </w:r>
      <w:r w:rsidRPr="00625CB6">
        <w:rPr>
          <w:rFonts w:eastAsia="Times New Roman" w:cs="Arial"/>
          <w:szCs w:val="22"/>
          <w:lang w:eastAsia="sl-SI"/>
        </w:rPr>
        <w:t xml:space="preserve"> 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19. člen Zakona o računovodstvu (Uradni list RS, št. 23/99 s spremembami),</w:t>
      </w:r>
    </w:p>
    <w:p w:rsidR="001A68FD" w:rsidRPr="00625CB6" w:rsidRDefault="001A68FD" w:rsidP="001A68F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18. člen Statuta Občine Renče-Vogrsko (Uradni list RS, št. 22/12 – uradno prečiščeno besedilo</w:t>
      </w:r>
      <w:r>
        <w:rPr>
          <w:rFonts w:eastAsia="Times New Roman" w:cs="Arial"/>
          <w:szCs w:val="22"/>
          <w:lang w:eastAsia="sl-SI"/>
        </w:rPr>
        <w:t>, 88/15 in 14/18</w:t>
      </w:r>
      <w:r w:rsidRPr="00625CB6">
        <w:rPr>
          <w:rFonts w:eastAsia="Times New Roman" w:cs="Arial"/>
          <w:szCs w:val="22"/>
          <w:lang w:eastAsia="sl-SI"/>
        </w:rPr>
        <w:t>).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PREDLAGATELJ:</w:t>
      </w:r>
      <w:r w:rsidRPr="00625CB6">
        <w:rPr>
          <w:rFonts w:eastAsia="Times New Roman" w:cs="Arial"/>
          <w:szCs w:val="22"/>
          <w:lang w:eastAsia="sl-SI"/>
        </w:rPr>
        <w:t xml:space="preserve">  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Župan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PRIPRAVLJALEC:</w:t>
      </w:r>
      <w:r w:rsidRPr="00625CB6">
        <w:rPr>
          <w:rFonts w:eastAsia="Times New Roman" w:cs="Arial"/>
          <w:szCs w:val="22"/>
          <w:lang w:eastAsia="sl-SI"/>
        </w:rPr>
        <w:t xml:space="preserve"> 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Župan, občinska uprava 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 xml:space="preserve">OBRAZLOŽITEV: 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1A68FD" w:rsidRDefault="001A68FD" w:rsidP="001A68F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bCs/>
          <w:szCs w:val="22"/>
          <w:lang w:eastAsia="sl-SI"/>
        </w:rPr>
      </w:pPr>
      <w:r w:rsidRPr="001A68FD">
        <w:rPr>
          <w:rFonts w:eastAsia="Times New Roman" w:cs="Arial"/>
          <w:b/>
          <w:bCs/>
          <w:szCs w:val="22"/>
          <w:lang w:eastAsia="sl-SI"/>
        </w:rPr>
        <w:t>Obrazložitev sedaj veljavnega sklepa</w:t>
      </w:r>
    </w:p>
    <w:p w:rsidR="001A68FD" w:rsidRP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1A68FD">
        <w:rPr>
          <w:rFonts w:eastAsia="Times New Roman" w:cs="Arial"/>
          <w:szCs w:val="22"/>
          <w:lang w:eastAsia="sl-SI"/>
        </w:rPr>
        <w:t xml:space="preserve">Ustanoviteljice Ljudske univerze Nova Gorica (v nadaljevanju LUNG) Občina Renče-Vogrsko, Mestna občina Nova Gorica, Občina Brda, Občina Kanal ob Soči, Občina Miren-Kostanjevica in Občina Šempeter-Vrtojba so dne 26. 10. 2016 prejele zaprosilo LUNG za podajo soglasja, da se presežek prihodkov nad odhodki iz preteklih let v obdobju od leta 2017 do leta 2022 nameni za investicijsko vzdrževanje, stroške dela in materialne stroške, del presežka pa ostane nerazporejen. Vlogi je priložila Plan porabe presežka prihodkov nad odhodki s specifikacijami, dne 17. 11. pa tudi popravek v besedilu, ki se nanaša na skupno vrednost investicijskega vzdrževanja. </w:t>
      </w:r>
    </w:p>
    <w:p w:rsid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Glede na to, da so bile v planu navedene okvirne vrednosti, je obstajala možnost, da bo pri realizaciji zaradi odvisnosti dejanskih vrednosti od postopkov javnega naročanja prišlo do manjših sprememb pri dejanski porabi.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 xml:space="preserve">Iz vloge s prilogami je izhajalo, da je na dan oddaje vloge </w:t>
      </w:r>
      <w:r w:rsidRPr="00625CB6">
        <w:rPr>
          <w:rFonts w:eastAsia="Times New Roman" w:cs="Arial"/>
          <w:szCs w:val="22"/>
          <w:lang w:eastAsia="sl-SI"/>
        </w:rPr>
        <w:t>presežek prihodkov nad odhodki iz preteklih let znaša</w:t>
      </w:r>
      <w:r>
        <w:rPr>
          <w:rFonts w:eastAsia="Times New Roman" w:cs="Arial"/>
          <w:szCs w:val="22"/>
          <w:lang w:eastAsia="sl-SI"/>
        </w:rPr>
        <w:t xml:space="preserve">l </w:t>
      </w:r>
      <w:r w:rsidRPr="00625CB6">
        <w:rPr>
          <w:rFonts w:eastAsia="Times New Roman" w:cs="Arial"/>
          <w:szCs w:val="22"/>
          <w:lang w:eastAsia="sl-SI"/>
        </w:rPr>
        <w:t xml:space="preserve">skupaj </w:t>
      </w:r>
      <w:r>
        <w:rPr>
          <w:rFonts w:eastAsia="Times New Roman" w:cs="Arial"/>
          <w:szCs w:val="22"/>
          <w:lang w:eastAsia="sl-SI"/>
        </w:rPr>
        <w:t>155.020,64</w:t>
      </w:r>
      <w:r w:rsidRPr="00625CB6">
        <w:rPr>
          <w:rFonts w:eastAsia="Times New Roman" w:cs="Arial"/>
          <w:szCs w:val="22"/>
          <w:lang w:eastAsia="sl-SI"/>
        </w:rPr>
        <w:t xml:space="preserve"> EUR,</w:t>
      </w:r>
      <w:r>
        <w:rPr>
          <w:rFonts w:eastAsia="Times New Roman" w:cs="Arial"/>
          <w:szCs w:val="22"/>
          <w:lang w:eastAsia="sl-SI"/>
        </w:rPr>
        <w:t xml:space="preserve"> in da bi LUNG</w:t>
      </w:r>
      <w:r w:rsidRPr="007F778D">
        <w:rPr>
          <w:rFonts w:eastAsia="Times New Roman" w:cs="Arial"/>
          <w:szCs w:val="22"/>
          <w:lang w:eastAsia="sl-SI"/>
        </w:rPr>
        <w:t xml:space="preserve"> </w:t>
      </w:r>
      <w:r w:rsidRPr="00625CB6">
        <w:rPr>
          <w:rFonts w:eastAsia="Times New Roman" w:cs="Arial"/>
          <w:szCs w:val="22"/>
          <w:lang w:eastAsia="sl-SI"/>
        </w:rPr>
        <w:t>iz naslova tega presežka</w:t>
      </w:r>
      <w:r>
        <w:rPr>
          <w:rFonts w:eastAsia="Times New Roman" w:cs="Arial"/>
          <w:szCs w:val="22"/>
          <w:lang w:eastAsia="sl-SI"/>
        </w:rPr>
        <w:t>: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2017</w:t>
      </w:r>
      <w:r w:rsidRPr="00625CB6">
        <w:rPr>
          <w:rFonts w:eastAsia="Times New Roman" w:cs="Arial"/>
          <w:szCs w:val="22"/>
          <w:lang w:eastAsia="sl-SI"/>
        </w:rPr>
        <w:t xml:space="preserve"> namenila </w:t>
      </w:r>
      <w:r>
        <w:rPr>
          <w:rFonts w:eastAsia="Times New Roman" w:cs="Arial"/>
          <w:szCs w:val="22"/>
          <w:lang w:eastAsia="sl-SI"/>
        </w:rPr>
        <w:t>21.345,64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2018</w:t>
      </w:r>
      <w:r w:rsidRPr="00625CB6">
        <w:rPr>
          <w:rFonts w:eastAsia="Times New Roman" w:cs="Arial"/>
          <w:szCs w:val="22"/>
          <w:lang w:eastAsia="sl-SI"/>
        </w:rPr>
        <w:t xml:space="preserve"> namenila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2019</w:t>
      </w:r>
      <w:r w:rsidRPr="00625CB6">
        <w:rPr>
          <w:rFonts w:eastAsia="Times New Roman" w:cs="Arial"/>
          <w:szCs w:val="22"/>
          <w:lang w:eastAsia="sl-SI"/>
        </w:rPr>
        <w:t xml:space="preserve"> namenila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lastRenderedPageBreak/>
        <w:t>v letu 2020</w:t>
      </w:r>
      <w:r w:rsidRPr="00625CB6">
        <w:rPr>
          <w:rFonts w:eastAsia="Times New Roman" w:cs="Arial"/>
          <w:szCs w:val="22"/>
          <w:lang w:eastAsia="sl-SI"/>
        </w:rPr>
        <w:t xml:space="preserve"> namenila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2021</w:t>
      </w:r>
      <w:r w:rsidRPr="00625CB6">
        <w:rPr>
          <w:rFonts w:eastAsia="Times New Roman" w:cs="Arial"/>
          <w:szCs w:val="22"/>
          <w:lang w:eastAsia="sl-SI"/>
        </w:rPr>
        <w:t xml:space="preserve"> namenila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2022</w:t>
      </w:r>
      <w:r w:rsidRPr="00625CB6">
        <w:rPr>
          <w:rFonts w:eastAsia="Times New Roman" w:cs="Arial"/>
          <w:szCs w:val="22"/>
          <w:lang w:eastAsia="sl-SI"/>
        </w:rPr>
        <w:t xml:space="preserve"> namenila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Pr="009B47A3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sredstva v višini 27.000,00 EUR prerazporedila kot nerazporejena.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D3798C" w:rsidRDefault="001A68FD" w:rsidP="00DF5F57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</w:t>
      </w:r>
      <w:r w:rsidRPr="00625CB6">
        <w:rPr>
          <w:rFonts w:eastAsia="Times New Roman" w:cs="Arial"/>
          <w:szCs w:val="22"/>
          <w:lang w:eastAsia="sl-SI"/>
        </w:rPr>
        <w:t xml:space="preserve">se občine soustanoviteljice </w:t>
      </w:r>
      <w:r>
        <w:rPr>
          <w:rFonts w:eastAsia="Times New Roman" w:cs="Arial"/>
          <w:szCs w:val="22"/>
          <w:lang w:eastAsia="sl-SI"/>
        </w:rPr>
        <w:t>so</w:t>
      </w:r>
      <w:r w:rsidRPr="00625CB6">
        <w:rPr>
          <w:rFonts w:eastAsia="Times New Roman" w:cs="Arial"/>
          <w:szCs w:val="22"/>
          <w:lang w:eastAsia="sl-SI"/>
        </w:rPr>
        <w:t xml:space="preserve"> sklep v delu, ki se nanaša na porabo presežka prihodkov nad odhodki v </w:t>
      </w:r>
      <w:r>
        <w:rPr>
          <w:rFonts w:eastAsia="Times New Roman" w:cs="Arial"/>
          <w:szCs w:val="22"/>
          <w:lang w:eastAsia="sl-SI"/>
        </w:rPr>
        <w:t>opredeljenem obdobju</w:t>
      </w:r>
      <w:r w:rsidRPr="00625CB6">
        <w:rPr>
          <w:rFonts w:eastAsia="Times New Roman" w:cs="Arial"/>
          <w:szCs w:val="22"/>
          <w:lang w:eastAsia="sl-SI"/>
        </w:rPr>
        <w:t xml:space="preserve">, </w:t>
      </w:r>
      <w:r>
        <w:rPr>
          <w:rFonts w:eastAsia="Times New Roman" w:cs="Arial"/>
          <w:szCs w:val="22"/>
          <w:lang w:eastAsia="sl-SI"/>
        </w:rPr>
        <w:t xml:space="preserve">sprejele </w:t>
      </w:r>
      <w:r w:rsidRPr="00625CB6">
        <w:rPr>
          <w:rFonts w:eastAsia="Times New Roman" w:cs="Arial"/>
          <w:szCs w:val="22"/>
          <w:lang w:eastAsia="sl-SI"/>
        </w:rPr>
        <w:t xml:space="preserve">v enakem besedilu. </w:t>
      </w:r>
      <w:r>
        <w:rPr>
          <w:rFonts w:eastAsia="Times New Roman" w:cs="Arial"/>
          <w:szCs w:val="22"/>
          <w:lang w:eastAsia="sl-SI"/>
        </w:rPr>
        <w:t>Občina Renče-Vogrsko pa je v prvem stavku 2. člena sklepa dodala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 xml:space="preserve">tudi </w:t>
      </w:r>
      <w:r w:rsidRPr="00625CB6">
        <w:rPr>
          <w:rFonts w:eastAsia="Times New Roman" w:cs="Arial"/>
          <w:szCs w:val="22"/>
          <w:lang w:eastAsia="sl-SI"/>
        </w:rPr>
        <w:t>določb</w:t>
      </w:r>
      <w:r>
        <w:rPr>
          <w:rFonts w:eastAsia="Times New Roman" w:cs="Arial"/>
          <w:szCs w:val="22"/>
          <w:lang w:eastAsia="sl-SI"/>
        </w:rPr>
        <w:t>o</w:t>
      </w:r>
      <w:r w:rsidRPr="00625CB6">
        <w:rPr>
          <w:rFonts w:eastAsia="Times New Roman" w:cs="Arial"/>
          <w:szCs w:val="22"/>
          <w:lang w:eastAsia="sl-SI"/>
        </w:rPr>
        <w:t>: »</w:t>
      </w:r>
      <w:bookmarkStart w:id="1" w:name="_Hlk21352784"/>
      <w:r w:rsidRPr="00625CB6">
        <w:rPr>
          <w:rFonts w:eastAsia="Times New Roman" w:cs="Arial"/>
          <w:i/>
          <w:szCs w:val="22"/>
          <w:lang w:eastAsia="sl-SI"/>
        </w:rPr>
        <w:t>Občina Renče-Vogrsko v obdobju od 201</w:t>
      </w:r>
      <w:r>
        <w:rPr>
          <w:rFonts w:eastAsia="Times New Roman" w:cs="Arial"/>
          <w:i/>
          <w:szCs w:val="22"/>
          <w:lang w:eastAsia="sl-SI"/>
        </w:rPr>
        <w:t>7</w:t>
      </w:r>
      <w:r w:rsidRPr="00625CB6">
        <w:rPr>
          <w:rFonts w:eastAsia="Times New Roman" w:cs="Arial"/>
          <w:i/>
          <w:szCs w:val="22"/>
          <w:lang w:eastAsia="sl-SI"/>
        </w:rPr>
        <w:t xml:space="preserve"> do 20</w:t>
      </w:r>
      <w:r>
        <w:rPr>
          <w:rFonts w:eastAsia="Times New Roman" w:cs="Arial"/>
          <w:i/>
          <w:szCs w:val="22"/>
          <w:lang w:eastAsia="sl-SI"/>
        </w:rPr>
        <w:t>22</w:t>
      </w:r>
      <w:r w:rsidRPr="00625CB6">
        <w:rPr>
          <w:rFonts w:eastAsia="Times New Roman" w:cs="Arial"/>
          <w:i/>
          <w:szCs w:val="22"/>
          <w:lang w:eastAsia="sl-SI"/>
        </w:rPr>
        <w:t xml:space="preserve"> LUNG ne bo zagotavljala proračunskih sredstev</w:t>
      </w:r>
      <w:bookmarkEnd w:id="1"/>
      <w:r w:rsidR="00D3798C">
        <w:rPr>
          <w:rFonts w:eastAsia="Times New Roman" w:cs="Arial"/>
          <w:i/>
          <w:szCs w:val="22"/>
          <w:lang w:eastAsia="sl-SI"/>
        </w:rPr>
        <w:t>«</w:t>
      </w:r>
      <w:r w:rsidR="00D3798C">
        <w:rPr>
          <w:rFonts w:eastAsia="Times New Roman" w:cs="Arial"/>
          <w:szCs w:val="22"/>
          <w:lang w:eastAsia="sl-SI"/>
        </w:rPr>
        <w:t>. Enaka določba je bila vsebovana že v sklepu o soglasju k razporeditvi presežka prihodkov nad odhodki v višini 191.151,04 EUR v letih 2015 in 2016 (»</w:t>
      </w:r>
      <w:r w:rsidR="00D3798C" w:rsidRPr="00625CB6">
        <w:rPr>
          <w:rFonts w:eastAsia="Times New Roman" w:cs="Arial"/>
          <w:i/>
          <w:szCs w:val="22"/>
          <w:lang w:eastAsia="sl-SI"/>
        </w:rPr>
        <w:t>Občina Renče-Vogrsko v obdobju od 201</w:t>
      </w:r>
      <w:r w:rsidR="00D3798C">
        <w:rPr>
          <w:rFonts w:eastAsia="Times New Roman" w:cs="Arial"/>
          <w:i/>
          <w:szCs w:val="22"/>
          <w:lang w:eastAsia="sl-SI"/>
        </w:rPr>
        <w:t>5</w:t>
      </w:r>
      <w:r w:rsidR="00D3798C" w:rsidRPr="00625CB6">
        <w:rPr>
          <w:rFonts w:eastAsia="Times New Roman" w:cs="Arial"/>
          <w:i/>
          <w:szCs w:val="22"/>
          <w:lang w:eastAsia="sl-SI"/>
        </w:rPr>
        <w:t xml:space="preserve"> do 20</w:t>
      </w:r>
      <w:r w:rsidR="00D3798C">
        <w:rPr>
          <w:rFonts w:eastAsia="Times New Roman" w:cs="Arial"/>
          <w:i/>
          <w:szCs w:val="22"/>
          <w:lang w:eastAsia="sl-SI"/>
        </w:rPr>
        <w:t>19</w:t>
      </w:r>
      <w:r w:rsidR="00D3798C" w:rsidRPr="00625CB6">
        <w:rPr>
          <w:rFonts w:eastAsia="Times New Roman" w:cs="Arial"/>
          <w:i/>
          <w:szCs w:val="22"/>
          <w:lang w:eastAsia="sl-SI"/>
        </w:rPr>
        <w:t xml:space="preserve"> LUNG ne bo zagotavljala proračunskih sredstev</w:t>
      </w:r>
      <w:r w:rsidR="00D3798C">
        <w:rPr>
          <w:rFonts w:eastAsia="Times New Roman" w:cs="Arial"/>
          <w:i/>
          <w:szCs w:val="22"/>
          <w:lang w:eastAsia="sl-SI"/>
        </w:rPr>
        <w:t>«)</w:t>
      </w:r>
      <w:r w:rsidR="00D3798C">
        <w:rPr>
          <w:rFonts w:eastAsia="Times New Roman" w:cs="Arial"/>
          <w:szCs w:val="22"/>
          <w:lang w:eastAsia="sl-SI"/>
        </w:rPr>
        <w:t>.</w:t>
      </w:r>
    </w:p>
    <w:p w:rsidR="00D3798C" w:rsidRDefault="00D3798C" w:rsidP="00DF5F57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D3798C" w:rsidRPr="001A68FD" w:rsidRDefault="00D3798C" w:rsidP="00DF5F5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bCs/>
          <w:szCs w:val="22"/>
          <w:lang w:eastAsia="sl-SI"/>
        </w:rPr>
      </w:pPr>
      <w:r w:rsidRPr="001A68FD">
        <w:rPr>
          <w:rFonts w:eastAsia="Times New Roman" w:cs="Arial"/>
          <w:b/>
          <w:bCs/>
          <w:szCs w:val="22"/>
          <w:lang w:eastAsia="sl-SI"/>
        </w:rPr>
        <w:t xml:space="preserve">Obrazložitev </w:t>
      </w:r>
      <w:r>
        <w:rPr>
          <w:rFonts w:eastAsia="Times New Roman" w:cs="Arial"/>
          <w:b/>
          <w:bCs/>
          <w:szCs w:val="22"/>
          <w:lang w:eastAsia="sl-SI"/>
        </w:rPr>
        <w:t>predloga novega</w:t>
      </w:r>
      <w:r w:rsidRPr="001A68FD">
        <w:rPr>
          <w:rFonts w:eastAsia="Times New Roman" w:cs="Arial"/>
          <w:b/>
          <w:bCs/>
          <w:szCs w:val="22"/>
          <w:lang w:eastAsia="sl-SI"/>
        </w:rPr>
        <w:t xml:space="preserve"> sklepa</w:t>
      </w:r>
    </w:p>
    <w:p w:rsidR="00AB04A5" w:rsidRPr="00AB04A5" w:rsidRDefault="00AB04A5" w:rsidP="00DF5F57">
      <w:pPr>
        <w:spacing w:line="240" w:lineRule="auto"/>
        <w:jc w:val="both"/>
        <w:rPr>
          <w:rFonts w:cs="Arial"/>
          <w:iCs/>
          <w:szCs w:val="22"/>
        </w:rPr>
      </w:pPr>
      <w:r w:rsidRPr="00AB04A5">
        <w:rPr>
          <w:rFonts w:cs="Arial"/>
          <w:szCs w:val="22"/>
        </w:rPr>
        <w:t xml:space="preserve">Na podlagi sklepov občinskih svetov o </w:t>
      </w:r>
      <w:r w:rsidR="00B73C11">
        <w:rPr>
          <w:rFonts w:cs="Arial"/>
          <w:szCs w:val="22"/>
        </w:rPr>
        <w:t xml:space="preserve">razporeditvi </w:t>
      </w:r>
      <w:r w:rsidRPr="00AB04A5">
        <w:rPr>
          <w:rFonts w:cs="Arial"/>
          <w:szCs w:val="22"/>
        </w:rPr>
        <w:t>porab</w:t>
      </w:r>
      <w:r w:rsidR="00B73C11">
        <w:rPr>
          <w:rFonts w:cs="Arial"/>
          <w:szCs w:val="22"/>
        </w:rPr>
        <w:t>e</w:t>
      </w:r>
      <w:r w:rsidRPr="00AB04A5">
        <w:rPr>
          <w:rFonts w:cs="Arial"/>
          <w:szCs w:val="22"/>
        </w:rPr>
        <w:t xml:space="preserve"> presežkov prihodkov nad odhodki se je sofinanciranje iz </w:t>
      </w:r>
      <w:r>
        <w:rPr>
          <w:rFonts w:cs="Arial"/>
          <w:szCs w:val="22"/>
        </w:rPr>
        <w:t xml:space="preserve">občinskih proračunov </w:t>
      </w:r>
      <w:r w:rsidR="001F7DCF">
        <w:rPr>
          <w:rFonts w:cs="Arial"/>
          <w:szCs w:val="22"/>
        </w:rPr>
        <w:t xml:space="preserve">izvajalo </w:t>
      </w:r>
      <w:r w:rsidR="001F7DCF" w:rsidRPr="00AB04A5">
        <w:rPr>
          <w:rFonts w:cs="Arial"/>
          <w:szCs w:val="22"/>
        </w:rPr>
        <w:t>iz teh presežkov</w:t>
      </w:r>
      <w:r w:rsidR="001F7DCF">
        <w:rPr>
          <w:rFonts w:cs="Arial"/>
          <w:szCs w:val="22"/>
        </w:rPr>
        <w:t>.</w:t>
      </w:r>
      <w:r w:rsidR="00DF5F57">
        <w:rPr>
          <w:rFonts w:cs="Arial"/>
          <w:szCs w:val="22"/>
        </w:rPr>
        <w:t xml:space="preserve"> Ker iz sklepa Občinskega sveta Občine Renče-Vogrsko</w:t>
      </w:r>
      <w:r w:rsidR="00DF5F57" w:rsidRPr="00DF5F57">
        <w:rPr>
          <w:rFonts w:cs="Arial"/>
          <w:szCs w:val="22"/>
        </w:rPr>
        <w:t xml:space="preserve"> </w:t>
      </w:r>
      <w:r w:rsidR="00DF5F57">
        <w:rPr>
          <w:rFonts w:cs="Arial"/>
          <w:szCs w:val="22"/>
        </w:rPr>
        <w:t xml:space="preserve">(veljavnega do vključno leta 2022) izhaja, da </w:t>
      </w:r>
      <w:r w:rsidR="00DF5F57" w:rsidRPr="00DF5F57">
        <w:rPr>
          <w:rFonts w:eastAsia="Times New Roman" w:cs="Arial"/>
          <w:iCs/>
          <w:szCs w:val="22"/>
          <w:lang w:eastAsia="sl-SI"/>
        </w:rPr>
        <w:t>Občina Renče-Vogrsko v obdobju od 2017 do 2022 LUNG ne bo zagotavljala proračunskih sredstev</w:t>
      </w:r>
      <w:r w:rsidR="00DF5F57">
        <w:rPr>
          <w:rFonts w:eastAsia="Times New Roman" w:cs="Arial"/>
          <w:iCs/>
          <w:szCs w:val="22"/>
          <w:lang w:eastAsia="sl-SI"/>
        </w:rPr>
        <w:t>, se v občinski proračun za sofinanciranje LUNG ni moglo umestiti nobenih sredstev.</w:t>
      </w:r>
    </w:p>
    <w:p w:rsidR="00AB04A5" w:rsidRDefault="001F7DCF" w:rsidP="00DF5F57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AB04A5">
        <w:rPr>
          <w:rFonts w:cs="Arial"/>
          <w:szCs w:val="22"/>
        </w:rPr>
        <w:t xml:space="preserve"> letu 2019 </w:t>
      </w:r>
      <w:r>
        <w:rPr>
          <w:rFonts w:cs="Arial"/>
          <w:szCs w:val="22"/>
        </w:rPr>
        <w:t xml:space="preserve">pa je </w:t>
      </w:r>
      <w:r w:rsidR="00AB04A5" w:rsidRPr="00AB04A5">
        <w:rPr>
          <w:rFonts w:cs="Arial"/>
          <w:szCs w:val="22"/>
        </w:rPr>
        <w:t>LUNG zaprosila za ponovno oz. dodatno sofinanciranje iz proračunov občin z utemeljitvijo, da se je v letu 2018 uveljavil nov Zakon o sofinanciranju odraslih, ki po novem določa, da se iz sredstev samoupravnih lokalnih skupnosti javnim organizacijam</w:t>
      </w:r>
      <w:r>
        <w:rPr>
          <w:rFonts w:cs="Arial"/>
          <w:szCs w:val="22"/>
        </w:rPr>
        <w:t>, kar se tiče konkretnega sofinanciranja,</w:t>
      </w:r>
      <w:r w:rsidR="00AB04A5" w:rsidRPr="00AB04A5">
        <w:rPr>
          <w:rFonts w:cs="Arial"/>
          <w:szCs w:val="22"/>
        </w:rPr>
        <w:t xml:space="preserve"> zagotavljajo sredstva za</w:t>
      </w:r>
      <w:r>
        <w:rPr>
          <w:rFonts w:cs="Arial"/>
          <w:szCs w:val="22"/>
        </w:rPr>
        <w:t xml:space="preserve"> </w:t>
      </w:r>
      <w:r w:rsidR="00AB04A5" w:rsidRPr="00AB04A5">
        <w:rPr>
          <w:rFonts w:cs="Arial"/>
          <w:szCs w:val="22"/>
        </w:rPr>
        <w:t>prostore in opremo</w:t>
      </w:r>
      <w:r>
        <w:rPr>
          <w:rFonts w:cs="Arial"/>
          <w:szCs w:val="22"/>
        </w:rPr>
        <w:t>,</w:t>
      </w:r>
      <w:r w:rsidR="00AB04A5" w:rsidRPr="00AB04A5">
        <w:rPr>
          <w:rFonts w:cs="Arial"/>
          <w:szCs w:val="22"/>
        </w:rPr>
        <w:t xml:space="preserve"> za izvajanje izobraževalnih programov za odrasle in dejavnosti, ki so v javnem interesu samoupravne lokalne skupnosti,</w:t>
      </w:r>
      <w:r>
        <w:rPr>
          <w:rFonts w:cs="Arial"/>
          <w:szCs w:val="22"/>
        </w:rPr>
        <w:t xml:space="preserve"> za</w:t>
      </w:r>
      <w:r w:rsidR="00AB04A5" w:rsidRPr="00AB04A5">
        <w:rPr>
          <w:rFonts w:cs="Arial"/>
          <w:szCs w:val="22"/>
        </w:rPr>
        <w:t xml:space="preserve"> investicije in investicijsko vzdrževanje</w:t>
      </w:r>
      <w:r>
        <w:rPr>
          <w:rFonts w:cs="Arial"/>
          <w:szCs w:val="22"/>
        </w:rPr>
        <w:t xml:space="preserve"> ter za</w:t>
      </w:r>
      <w:r w:rsidR="00AB04A5" w:rsidRPr="00AB04A5">
        <w:rPr>
          <w:rFonts w:cs="Arial"/>
          <w:szCs w:val="22"/>
        </w:rPr>
        <w:t xml:space="preserve"> materialne stroške za obratovanje za izvajanje programa osnovne šole za odrasle.</w:t>
      </w:r>
      <w:r w:rsidR="005502BF">
        <w:rPr>
          <w:rFonts w:cs="Arial"/>
          <w:szCs w:val="22"/>
        </w:rPr>
        <w:t xml:space="preserve"> Iz Finančnega plana LUNG za leto 2019 izhaja, da naj bi Občina Renče-Vogrsko Ljudski univerzi skladno s ključem razdelitve po delitveni bilanci 7,1 %  dodatno zagotovila sredstva za opremo in materialne stroške</w:t>
      </w:r>
      <w:r w:rsidR="006B0B99">
        <w:rPr>
          <w:rFonts w:cs="Arial"/>
          <w:szCs w:val="22"/>
        </w:rPr>
        <w:t xml:space="preserve"> </w:t>
      </w:r>
      <w:r w:rsidR="005502BF">
        <w:rPr>
          <w:rFonts w:cs="Arial"/>
          <w:szCs w:val="22"/>
        </w:rPr>
        <w:t xml:space="preserve">v skupni višini </w:t>
      </w:r>
      <w:r w:rsidR="006B0B99">
        <w:rPr>
          <w:rFonts w:cs="Arial"/>
          <w:szCs w:val="22"/>
        </w:rPr>
        <w:t>1.630,16 EUR (</w:t>
      </w:r>
      <w:r w:rsidR="005502BF">
        <w:rPr>
          <w:rFonts w:cs="Arial"/>
          <w:szCs w:val="22"/>
        </w:rPr>
        <w:t>707,16 EUR za opremo</w:t>
      </w:r>
      <w:r w:rsidR="006B0B99">
        <w:rPr>
          <w:rFonts w:cs="Arial"/>
          <w:szCs w:val="22"/>
        </w:rPr>
        <w:t>, 923 EUR za materialne stroške za OŠ), in 852 EUR za projektno sodelovanje.</w:t>
      </w:r>
      <w:r w:rsidR="00B7511E">
        <w:rPr>
          <w:rFonts w:cs="Arial"/>
          <w:szCs w:val="22"/>
        </w:rPr>
        <w:t xml:space="preserve"> Sredstva za projektno sodelovanje ne sodijo v zakonsko obveznost.</w:t>
      </w:r>
    </w:p>
    <w:p w:rsidR="005502BF" w:rsidRPr="00AB04A5" w:rsidRDefault="005502BF" w:rsidP="001F7DCF">
      <w:pPr>
        <w:spacing w:after="0" w:line="240" w:lineRule="auto"/>
        <w:jc w:val="both"/>
        <w:rPr>
          <w:rFonts w:cs="Arial"/>
          <w:szCs w:val="22"/>
        </w:rPr>
      </w:pPr>
    </w:p>
    <w:p w:rsidR="00D3798C" w:rsidRDefault="006B0B99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Občinskemu svetu se z novim sklepom v bistvu predlaga odpravo prvega stavka 2. člena sedaj veljavnega sklepa, ki se glasi</w:t>
      </w:r>
      <w:r w:rsidR="00B7511E">
        <w:rPr>
          <w:rFonts w:eastAsia="Times New Roman" w:cs="Arial"/>
          <w:szCs w:val="22"/>
          <w:lang w:eastAsia="sl-SI"/>
        </w:rPr>
        <w:t xml:space="preserve">: </w:t>
      </w:r>
      <w:r w:rsidR="00B7511E" w:rsidRPr="00625CB6">
        <w:rPr>
          <w:rFonts w:eastAsia="Times New Roman" w:cs="Arial"/>
          <w:szCs w:val="22"/>
          <w:lang w:eastAsia="sl-SI"/>
        </w:rPr>
        <w:t>»</w:t>
      </w:r>
      <w:r w:rsidR="00B7511E" w:rsidRPr="00625CB6">
        <w:rPr>
          <w:rFonts w:eastAsia="Times New Roman" w:cs="Arial"/>
          <w:i/>
          <w:szCs w:val="22"/>
          <w:lang w:eastAsia="sl-SI"/>
        </w:rPr>
        <w:t>Občina Renče-Vogrsko v obdobju od 201</w:t>
      </w:r>
      <w:r w:rsidR="00B7511E">
        <w:rPr>
          <w:rFonts w:eastAsia="Times New Roman" w:cs="Arial"/>
          <w:i/>
          <w:szCs w:val="22"/>
          <w:lang w:eastAsia="sl-SI"/>
        </w:rPr>
        <w:t>7</w:t>
      </w:r>
      <w:r w:rsidR="00B7511E" w:rsidRPr="00625CB6">
        <w:rPr>
          <w:rFonts w:eastAsia="Times New Roman" w:cs="Arial"/>
          <w:i/>
          <w:szCs w:val="22"/>
          <w:lang w:eastAsia="sl-SI"/>
        </w:rPr>
        <w:t xml:space="preserve"> do 20</w:t>
      </w:r>
      <w:r w:rsidR="00B7511E">
        <w:rPr>
          <w:rFonts w:eastAsia="Times New Roman" w:cs="Arial"/>
          <w:i/>
          <w:szCs w:val="22"/>
          <w:lang w:eastAsia="sl-SI"/>
        </w:rPr>
        <w:t>22</w:t>
      </w:r>
      <w:r w:rsidR="00B7511E" w:rsidRPr="00625CB6">
        <w:rPr>
          <w:rFonts w:eastAsia="Times New Roman" w:cs="Arial"/>
          <w:i/>
          <w:szCs w:val="22"/>
          <w:lang w:eastAsia="sl-SI"/>
        </w:rPr>
        <w:t xml:space="preserve"> LUNG ne bo zagotavljala proračunskih sredstev</w:t>
      </w:r>
      <w:r w:rsidR="00B7511E">
        <w:rPr>
          <w:rFonts w:eastAsia="Times New Roman" w:cs="Arial"/>
          <w:i/>
          <w:szCs w:val="22"/>
          <w:lang w:eastAsia="sl-SI"/>
        </w:rPr>
        <w:t>«</w:t>
      </w:r>
      <w:r w:rsidR="00B7511E">
        <w:rPr>
          <w:rFonts w:eastAsia="Times New Roman" w:cs="Arial"/>
          <w:szCs w:val="22"/>
          <w:lang w:eastAsia="sl-SI"/>
        </w:rPr>
        <w:t>.</w:t>
      </w:r>
    </w:p>
    <w:p w:rsidR="00B7511E" w:rsidRDefault="00B7511E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B7511E" w:rsidRDefault="00B7511E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RAZLOGI ZA SPREJETJE SKLEPA: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6B0B99" w:rsidRPr="006B0B99" w:rsidRDefault="001A68FD" w:rsidP="006B0B99">
      <w:pPr>
        <w:spacing w:after="160" w:line="259" w:lineRule="auto"/>
        <w:jc w:val="both"/>
        <w:rPr>
          <w:rFonts w:cs="Arial"/>
          <w:szCs w:val="22"/>
        </w:rPr>
      </w:pPr>
      <w:r w:rsidRPr="00625CB6">
        <w:rPr>
          <w:rFonts w:eastAsia="Times New Roman" w:cs="Arial"/>
          <w:szCs w:val="22"/>
          <w:lang w:eastAsia="sl-SI"/>
        </w:rPr>
        <w:t xml:space="preserve">Sprejeti sklepi občin soustanoviteljic </w:t>
      </w:r>
      <w:r w:rsidR="006B0B99">
        <w:rPr>
          <w:rFonts w:eastAsia="Times New Roman" w:cs="Arial"/>
          <w:szCs w:val="22"/>
          <w:lang w:eastAsia="sl-SI"/>
        </w:rPr>
        <w:t>so</w:t>
      </w:r>
      <w:r w:rsidRPr="00625CB6">
        <w:rPr>
          <w:rFonts w:eastAsia="Times New Roman" w:cs="Arial"/>
          <w:szCs w:val="22"/>
          <w:lang w:eastAsia="sl-SI"/>
        </w:rPr>
        <w:t xml:space="preserve"> osnova za razporeditev porabe presežka prihodkov nad odhodki LUNG v obdobju 201</w:t>
      </w:r>
      <w:r>
        <w:rPr>
          <w:rFonts w:eastAsia="Times New Roman" w:cs="Arial"/>
          <w:szCs w:val="22"/>
          <w:lang w:eastAsia="sl-SI"/>
        </w:rPr>
        <w:t>7 – 2022</w:t>
      </w:r>
      <w:r w:rsidRPr="00625CB6">
        <w:rPr>
          <w:rFonts w:eastAsia="Times New Roman" w:cs="Arial"/>
          <w:szCs w:val="22"/>
          <w:lang w:eastAsia="sl-SI"/>
        </w:rPr>
        <w:t>.</w:t>
      </w:r>
      <w:r w:rsidR="006B0B99">
        <w:rPr>
          <w:rFonts w:eastAsia="Times New Roman" w:cs="Arial"/>
          <w:szCs w:val="22"/>
          <w:lang w:eastAsia="sl-SI"/>
        </w:rPr>
        <w:t xml:space="preserve"> </w:t>
      </w:r>
      <w:r w:rsidR="006B0B99" w:rsidRPr="00AB04A5">
        <w:rPr>
          <w:rFonts w:cs="Arial"/>
          <w:szCs w:val="22"/>
        </w:rPr>
        <w:t xml:space="preserve">Ker Občina Renče-Vogrsko zaradi določbe v sklepu, da v obdobju od 2017 do 2022 LUNG ne bo zagotavljala sredstev, ni mogla zagotoviti sredstev v proračunu, smo v postopku podaje soglasja k Finančnemu načrtu uveljavljali, da se naj za sredstva, ki jih morajo po zakonu zagotavljati občine, upoštevajo sredstva po sklepu o soglasju k razporeditvi porabe presežka. </w:t>
      </w:r>
    </w:p>
    <w:p w:rsidR="006B0B99" w:rsidRPr="00AB04A5" w:rsidRDefault="006B0B99" w:rsidP="006B0B99">
      <w:pPr>
        <w:spacing w:after="160"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 podpisu pogodbe se na podlagi sedaj veljavnega sklepa ne more pristopiti, saj v proračunu Občine Renče-Vogrsko sredstva za sofinanciranje LUNG niso planirana. 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OCENA STANJA: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LUNG razpolaga s presežkom prihodkov nad odhodki, ki ga mora porabiti skladno z 19. členom Zakona o računovodstvu, Odlokom o ustanovitvi, odločitvami občin ustanoviteljic in planom porabe.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Zaradi izkazanega presežka prihodkov nad odhodki </w:t>
      </w:r>
      <w:r>
        <w:rPr>
          <w:rFonts w:eastAsia="Times New Roman" w:cs="Arial"/>
          <w:szCs w:val="22"/>
          <w:lang w:eastAsia="sl-SI"/>
        </w:rPr>
        <w:t>Občina Renče-Vogrsko v opredeljenem obdobju porabe presežka prihodkov nad odhodki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 w:rsidR="006B0B99">
        <w:rPr>
          <w:rFonts w:eastAsia="Times New Roman" w:cs="Arial"/>
          <w:szCs w:val="22"/>
          <w:lang w:eastAsia="sl-SI"/>
        </w:rPr>
        <w:t>ni in tudi ne more</w:t>
      </w:r>
      <w:r>
        <w:rPr>
          <w:rFonts w:eastAsia="Times New Roman" w:cs="Arial"/>
          <w:szCs w:val="22"/>
          <w:lang w:eastAsia="sl-SI"/>
        </w:rPr>
        <w:t xml:space="preserve"> zagotavlja</w:t>
      </w:r>
      <w:r w:rsidR="006B0B99">
        <w:rPr>
          <w:rFonts w:eastAsia="Times New Roman" w:cs="Arial"/>
          <w:szCs w:val="22"/>
          <w:lang w:eastAsia="sl-SI"/>
        </w:rPr>
        <w:t>ti</w:t>
      </w:r>
      <w:r>
        <w:rPr>
          <w:rFonts w:eastAsia="Times New Roman" w:cs="Arial"/>
          <w:szCs w:val="22"/>
          <w:lang w:eastAsia="sl-SI"/>
        </w:rPr>
        <w:t xml:space="preserve"> sredstev</w:t>
      </w:r>
      <w:r w:rsidR="006B0B99">
        <w:rPr>
          <w:rFonts w:eastAsia="Times New Roman" w:cs="Arial"/>
          <w:szCs w:val="22"/>
          <w:lang w:eastAsia="sl-SI"/>
        </w:rPr>
        <w:t>.</w:t>
      </w:r>
      <w:r>
        <w:rPr>
          <w:rFonts w:eastAsia="Times New Roman" w:cs="Arial"/>
          <w:szCs w:val="22"/>
          <w:lang w:eastAsia="sl-SI"/>
        </w:rPr>
        <w:t xml:space="preserve"> </w:t>
      </w:r>
    </w:p>
    <w:p w:rsidR="006B0B99" w:rsidRDefault="006B0B99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6B0B99" w:rsidRDefault="006B0B99" w:rsidP="006B0B99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Kar se tiče navedenega zakonskega sofinanciranja, lahko ugotovimo, da v sklepih občinskih svetov o soglasju k razporeditvi porabe presežkov do leta 2022 ni vključeno samo </w:t>
      </w:r>
      <w:r w:rsidRPr="002D0025">
        <w:rPr>
          <w:rFonts w:cs="Arial"/>
          <w:szCs w:val="22"/>
          <w:u w:val="single"/>
        </w:rPr>
        <w:t xml:space="preserve">sofinanciranje </w:t>
      </w:r>
      <w:r w:rsidRPr="00AB04A5">
        <w:rPr>
          <w:rFonts w:cs="Arial"/>
          <w:szCs w:val="22"/>
          <w:u w:val="single"/>
        </w:rPr>
        <w:t>materialn</w:t>
      </w:r>
      <w:r w:rsidRPr="002D0025">
        <w:rPr>
          <w:rFonts w:cs="Arial"/>
          <w:szCs w:val="22"/>
          <w:u w:val="single"/>
        </w:rPr>
        <w:t>ih</w:t>
      </w:r>
      <w:r w:rsidRPr="00AB04A5">
        <w:rPr>
          <w:rFonts w:cs="Arial"/>
          <w:szCs w:val="22"/>
          <w:u w:val="single"/>
        </w:rPr>
        <w:t xml:space="preserve"> strošk</w:t>
      </w:r>
      <w:r w:rsidRPr="002D0025">
        <w:rPr>
          <w:rFonts w:cs="Arial"/>
          <w:szCs w:val="22"/>
          <w:u w:val="single"/>
        </w:rPr>
        <w:t>ov</w:t>
      </w:r>
      <w:r w:rsidRPr="00AB04A5">
        <w:rPr>
          <w:rFonts w:cs="Arial"/>
          <w:szCs w:val="22"/>
          <w:u w:val="single"/>
        </w:rPr>
        <w:t xml:space="preserve"> izvajanj</w:t>
      </w:r>
      <w:r w:rsidRPr="002D0025">
        <w:rPr>
          <w:rFonts w:cs="Arial"/>
          <w:szCs w:val="22"/>
          <w:u w:val="single"/>
        </w:rPr>
        <w:t>a</w:t>
      </w:r>
      <w:r w:rsidRPr="00AB04A5">
        <w:rPr>
          <w:rFonts w:cs="Arial"/>
          <w:szCs w:val="22"/>
          <w:u w:val="single"/>
        </w:rPr>
        <w:t xml:space="preserve"> programa osnovne šole za odrasle</w:t>
      </w:r>
      <w:r>
        <w:rPr>
          <w:rFonts w:cs="Arial"/>
          <w:szCs w:val="22"/>
        </w:rPr>
        <w:t xml:space="preserve">, zato </w:t>
      </w:r>
      <w:r w:rsidR="00A02AB9">
        <w:rPr>
          <w:rFonts w:cs="Arial"/>
          <w:szCs w:val="22"/>
        </w:rPr>
        <w:t>bi bila ena od smiselnih rešitev, da</w:t>
      </w:r>
      <w:r>
        <w:rPr>
          <w:rFonts w:cs="Arial"/>
          <w:szCs w:val="22"/>
        </w:rPr>
        <w:t xml:space="preserve"> bi LUNG zaprosila občinske svete za podajo soglasja k porabi sredstev, ki so ostala nerazporejena v višini 27.000 EUR. Iz Finančnega plana LUNG za leto 2019 namreč izhaja, da ocena vrednosti materialnih stroškov za osnovno šolo znaša skupaj 13.000 EUR; skladno s ključem razdelitve po delitveni bilanci 7,1 % znaša delež sredstev iz proračuna naše občine 923 EUR.</w:t>
      </w:r>
      <w:r w:rsidRPr="006B0B99">
        <w:rPr>
          <w:rFonts w:cs="Arial"/>
          <w:szCs w:val="22"/>
        </w:rPr>
        <w:t xml:space="preserve"> </w:t>
      </w:r>
      <w:r w:rsidRPr="00AB04A5">
        <w:rPr>
          <w:rFonts w:cs="Arial"/>
          <w:szCs w:val="22"/>
        </w:rPr>
        <w:t xml:space="preserve">Iz </w:t>
      </w:r>
      <w:r>
        <w:rPr>
          <w:rFonts w:cs="Arial"/>
          <w:szCs w:val="22"/>
        </w:rPr>
        <w:t xml:space="preserve">Letnega </w:t>
      </w:r>
      <w:r w:rsidRPr="00AB04A5">
        <w:rPr>
          <w:rFonts w:cs="Arial"/>
          <w:szCs w:val="22"/>
        </w:rPr>
        <w:t>poročila za 201</w:t>
      </w:r>
      <w:r>
        <w:rPr>
          <w:rFonts w:cs="Arial"/>
          <w:szCs w:val="22"/>
        </w:rPr>
        <w:t>8</w:t>
      </w:r>
      <w:r w:rsidRPr="00AB04A5">
        <w:rPr>
          <w:rFonts w:cs="Arial"/>
          <w:szCs w:val="22"/>
        </w:rPr>
        <w:t xml:space="preserve"> izhaja, da je osnovno šolo </w:t>
      </w:r>
      <w:r>
        <w:rPr>
          <w:rFonts w:cs="Arial"/>
          <w:szCs w:val="22"/>
        </w:rPr>
        <w:t xml:space="preserve">v letu 2017 </w:t>
      </w:r>
      <w:r w:rsidRPr="00AB04A5">
        <w:rPr>
          <w:rFonts w:cs="Arial"/>
          <w:szCs w:val="22"/>
        </w:rPr>
        <w:t>obiskovalo 51 odraslih učencev, od tega 4 iz Občine Renče-Vogrsko. Podatka za 2018 ni.</w:t>
      </w:r>
    </w:p>
    <w:p w:rsidR="006B0B99" w:rsidRPr="00625CB6" w:rsidRDefault="006B0B99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CILJI IN NAČELA: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Poraba presežka bo skladna z 19. členom Zakona o računovodstvu, ki določa, da se presežek razporeja v skladu z zakonom in odločitvijo ustanovitelja pravne osebe. </w:t>
      </w:r>
      <w:r w:rsidR="00B7511E">
        <w:rPr>
          <w:rFonts w:eastAsia="Times New Roman" w:cs="Arial"/>
          <w:szCs w:val="22"/>
          <w:lang w:eastAsia="sl-SI"/>
        </w:rPr>
        <w:t>V primeru sprejetja novega sklepa bi lahko Občina Renče-Vogrsko v proračun umestila postavko z opredelitvijo proračunskih sredstev, namenjenih sofinanciranju LUNG, na tej podlagi pa nato podpisala pogodbo o sofinanciranju LUNG.</w:t>
      </w:r>
    </w:p>
    <w:p w:rsidR="00B7511E" w:rsidRPr="00625CB6" w:rsidRDefault="00B7511E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625CB6">
        <w:rPr>
          <w:rFonts w:eastAsia="Times New Roman" w:cs="Arial"/>
          <w:i/>
          <w:szCs w:val="22"/>
          <w:u w:val="single"/>
          <w:lang w:eastAsia="sl-SI"/>
        </w:rPr>
        <w:t>FINANČNE IN DRUGE POSLEDICE: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Na podlagi sprejet</w:t>
      </w:r>
      <w:r w:rsidR="00B7511E">
        <w:rPr>
          <w:rFonts w:eastAsia="Times New Roman" w:cs="Arial"/>
          <w:szCs w:val="22"/>
          <w:lang w:eastAsia="sl-SI"/>
        </w:rPr>
        <w:t>ja novega</w:t>
      </w:r>
      <w:r w:rsidRPr="00625CB6">
        <w:rPr>
          <w:rFonts w:eastAsia="Times New Roman" w:cs="Arial"/>
          <w:szCs w:val="22"/>
          <w:lang w:eastAsia="sl-SI"/>
        </w:rPr>
        <w:t xml:space="preserve"> sklepa </w:t>
      </w:r>
      <w:r w:rsidR="00B7511E">
        <w:rPr>
          <w:rFonts w:eastAsia="Times New Roman" w:cs="Arial"/>
          <w:szCs w:val="22"/>
          <w:lang w:eastAsia="sl-SI"/>
        </w:rPr>
        <w:t xml:space="preserve">bi morala </w:t>
      </w:r>
      <w:r w:rsidRPr="00625CB6">
        <w:rPr>
          <w:rFonts w:eastAsia="Times New Roman" w:cs="Arial"/>
          <w:szCs w:val="22"/>
          <w:lang w:eastAsia="sl-SI"/>
        </w:rPr>
        <w:t xml:space="preserve">občina </w:t>
      </w:r>
      <w:r w:rsidR="00B7511E">
        <w:rPr>
          <w:rFonts w:eastAsia="Times New Roman" w:cs="Arial"/>
          <w:szCs w:val="22"/>
          <w:lang w:eastAsia="sl-SI"/>
        </w:rPr>
        <w:t>v proračun umestiti postavko z opredelitvijo proračunskih sredstev, namenjenih sofinanciranju LUNG, v višini najmanj 923 EUR.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625CB6">
        <w:rPr>
          <w:rFonts w:eastAsia="Times New Roman" w:cs="Arial"/>
          <w:sz w:val="20"/>
          <w:szCs w:val="20"/>
          <w:lang w:eastAsia="sl-SI"/>
        </w:rPr>
        <w:t>Pripravila: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smartTag w:uri="urn:schemas-microsoft-com:office:smarttags" w:element="PersonName">
        <w:r w:rsidRPr="00625CB6">
          <w:rPr>
            <w:rFonts w:eastAsia="Times New Roman" w:cs="Arial"/>
            <w:sz w:val="20"/>
            <w:szCs w:val="20"/>
            <w:lang w:eastAsia="sl-SI"/>
          </w:rPr>
          <w:t>Vladka Gal</w:t>
        </w:r>
      </w:smartTag>
      <w:r w:rsidRPr="00625CB6">
        <w:rPr>
          <w:rFonts w:eastAsia="Times New Roman" w:cs="Arial"/>
          <w:sz w:val="20"/>
          <w:szCs w:val="20"/>
          <w:lang w:eastAsia="sl-SI"/>
        </w:rPr>
        <w:t xml:space="preserve"> Janeš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625CB6">
        <w:rPr>
          <w:rFonts w:eastAsia="Times New Roman" w:cs="Arial"/>
          <w:sz w:val="20"/>
          <w:szCs w:val="20"/>
          <w:lang w:eastAsia="sl-SI"/>
        </w:rPr>
        <w:t>Višja svetovalka I za družbene dejavnosti</w:t>
      </w:r>
    </w:p>
    <w:p w:rsidR="001A68FD" w:rsidRPr="00625CB6" w:rsidRDefault="00424E95" w:rsidP="001A68F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625CB6">
        <w:rPr>
          <w:rFonts w:eastAsia="Times New Roman" w:cs="Arial"/>
          <w:sz w:val="20"/>
          <w:szCs w:val="20"/>
          <w:lang w:eastAsia="sl-SI"/>
        </w:rPr>
        <w:t>Predlog sklepa: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Na podlagi 19. člena Zakona o računovodstvu (Uradni list RS, št. 23/99 s spremembami)  in 18. člena Statuta Občine Renče-Vogrsko (Uradni list RS, št. 22/12 – uradno prečiščeno besedilo</w:t>
      </w:r>
      <w:r>
        <w:rPr>
          <w:rFonts w:eastAsia="Times New Roman" w:cs="Arial"/>
          <w:szCs w:val="22"/>
          <w:lang w:eastAsia="sl-SI"/>
        </w:rPr>
        <w:t>, 88/15 in 14/18</w:t>
      </w:r>
      <w:r w:rsidRPr="00625CB6">
        <w:rPr>
          <w:rFonts w:eastAsia="Times New Roman" w:cs="Arial"/>
          <w:szCs w:val="22"/>
          <w:lang w:eastAsia="sl-SI"/>
        </w:rPr>
        <w:t xml:space="preserve">) je občinski svet Občine Renče-Vogrsko na ________ seji dne _________sprejel naslednji 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b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b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center"/>
        <w:rPr>
          <w:rFonts w:eastAsia="Times New Roman" w:cs="Arial"/>
          <w:b/>
          <w:szCs w:val="22"/>
          <w:lang w:eastAsia="sl-SI"/>
        </w:rPr>
      </w:pPr>
      <w:r w:rsidRPr="00625CB6">
        <w:rPr>
          <w:rFonts w:eastAsia="Times New Roman" w:cs="Arial"/>
          <w:b/>
          <w:szCs w:val="22"/>
          <w:lang w:eastAsia="sl-SI"/>
        </w:rPr>
        <w:t xml:space="preserve">S K L E P </w:t>
      </w: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lastRenderedPageBreak/>
        <w:t>1.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Javni zavod Ljudska univerza Nova Gorica razporedi presežek prihodkov nad odhodki iz preteklih let v višini </w:t>
      </w:r>
      <w:r>
        <w:rPr>
          <w:rFonts w:eastAsia="Times New Roman" w:cs="Arial"/>
          <w:szCs w:val="22"/>
          <w:lang w:eastAsia="sl-SI"/>
        </w:rPr>
        <w:t>155.020,64</w:t>
      </w:r>
      <w:r w:rsidRPr="00625CB6">
        <w:rPr>
          <w:rFonts w:eastAsia="Times New Roman" w:cs="Arial"/>
          <w:szCs w:val="22"/>
          <w:lang w:eastAsia="sl-SI"/>
        </w:rPr>
        <w:t xml:space="preserve"> EUR na naslednji način: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2017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v višini 21.345,64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2018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v višini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2019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v višini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2020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v višini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2021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v višini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letu 2022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v višini</w:t>
      </w:r>
      <w:r w:rsidRPr="00625CB6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21.335,00</w:t>
      </w:r>
      <w:r w:rsidRPr="00625CB6">
        <w:rPr>
          <w:rFonts w:eastAsia="Times New Roman" w:cs="Arial"/>
          <w:szCs w:val="22"/>
          <w:lang w:eastAsia="sl-SI"/>
        </w:rPr>
        <w:t xml:space="preserve"> EUR </w:t>
      </w:r>
      <w:r>
        <w:rPr>
          <w:rFonts w:eastAsia="Times New Roman" w:cs="Arial"/>
          <w:szCs w:val="22"/>
          <w:lang w:eastAsia="sl-SI"/>
        </w:rPr>
        <w:t>za investicijsko vzdrževanje, stroške dela in materialne stroške</w:t>
      </w:r>
      <w:r w:rsidRPr="00625CB6">
        <w:rPr>
          <w:rFonts w:eastAsia="Times New Roman" w:cs="Arial"/>
          <w:szCs w:val="22"/>
          <w:lang w:eastAsia="sl-SI"/>
        </w:rPr>
        <w:t>,</w:t>
      </w:r>
    </w:p>
    <w:p w:rsidR="001A68FD" w:rsidRPr="009B47A3" w:rsidRDefault="001A68FD" w:rsidP="001A68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sredstva v višini 27.000,00 EUR ostajajo nerazporejena,</w:t>
      </w:r>
    </w:p>
    <w:p w:rsidR="001A68FD" w:rsidRPr="00625CB6" w:rsidRDefault="001A68FD" w:rsidP="001A68FD">
      <w:pPr>
        <w:spacing w:after="0" w:line="240" w:lineRule="auto"/>
        <w:ind w:left="360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kot izhaja iz Plana porabe presežka prihodkov nad odhodki </w:t>
      </w:r>
      <w:r>
        <w:rPr>
          <w:rFonts w:eastAsia="Times New Roman" w:cs="Arial"/>
          <w:szCs w:val="22"/>
          <w:lang w:eastAsia="sl-SI"/>
        </w:rPr>
        <w:t xml:space="preserve">za obdobje od leta 2017 do leta 2022 </w:t>
      </w:r>
      <w:r w:rsidRPr="00625CB6">
        <w:rPr>
          <w:rFonts w:eastAsia="Times New Roman" w:cs="Arial"/>
          <w:szCs w:val="22"/>
          <w:lang w:eastAsia="sl-SI"/>
        </w:rPr>
        <w:t>z dne 2</w:t>
      </w:r>
      <w:r>
        <w:rPr>
          <w:rFonts w:eastAsia="Times New Roman" w:cs="Arial"/>
          <w:szCs w:val="22"/>
          <w:lang w:eastAsia="sl-SI"/>
        </w:rPr>
        <w:t>5</w:t>
      </w:r>
      <w:r w:rsidRPr="00625CB6">
        <w:rPr>
          <w:rFonts w:eastAsia="Times New Roman" w:cs="Arial"/>
          <w:szCs w:val="22"/>
          <w:lang w:eastAsia="sl-SI"/>
        </w:rPr>
        <w:t xml:space="preserve">. </w:t>
      </w:r>
      <w:r>
        <w:rPr>
          <w:rFonts w:eastAsia="Times New Roman" w:cs="Arial"/>
          <w:szCs w:val="22"/>
          <w:lang w:eastAsia="sl-SI"/>
        </w:rPr>
        <w:t>10</w:t>
      </w:r>
      <w:r w:rsidRPr="00625CB6">
        <w:rPr>
          <w:rFonts w:eastAsia="Times New Roman" w:cs="Arial"/>
          <w:szCs w:val="22"/>
          <w:lang w:eastAsia="sl-SI"/>
        </w:rPr>
        <w:t>. 201</w:t>
      </w:r>
      <w:r>
        <w:rPr>
          <w:rFonts w:eastAsia="Times New Roman" w:cs="Arial"/>
          <w:szCs w:val="22"/>
          <w:lang w:eastAsia="sl-SI"/>
        </w:rPr>
        <w:t>6 s popravkom z dne 17. 11. 2016</w:t>
      </w:r>
      <w:r w:rsidRPr="00625CB6">
        <w:rPr>
          <w:rFonts w:eastAsia="Times New Roman" w:cs="Arial"/>
          <w:szCs w:val="22"/>
          <w:lang w:eastAsia="sl-SI"/>
        </w:rPr>
        <w:t xml:space="preserve">, ki je priloga tega sklepa.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2.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Javni zavod Ljudska univerza Nova Gorica je Občini Renče-Vogrsko dolžan podati poročilo o porabi sredstev </w:t>
      </w:r>
      <w:r w:rsidRPr="002A0E62">
        <w:rPr>
          <w:rFonts w:eastAsia="Times New Roman" w:cs="Arial"/>
          <w:szCs w:val="22"/>
          <w:lang w:eastAsia="sl-SI"/>
        </w:rPr>
        <w:t xml:space="preserve">do 15. 1. za preteklo leto, za porabo sredstev </w:t>
      </w:r>
      <w:r w:rsidRPr="00625CB6">
        <w:rPr>
          <w:rFonts w:eastAsia="Times New Roman" w:cs="Arial"/>
          <w:szCs w:val="22"/>
          <w:lang w:eastAsia="sl-SI"/>
        </w:rPr>
        <w:t xml:space="preserve">iz naslova nerazporejenih sredstev </w:t>
      </w:r>
      <w:r w:rsidRPr="002A0E62">
        <w:rPr>
          <w:rFonts w:eastAsia="Times New Roman" w:cs="Arial"/>
          <w:szCs w:val="22"/>
          <w:lang w:eastAsia="sl-SI"/>
        </w:rPr>
        <w:t xml:space="preserve">pa v </w:t>
      </w:r>
      <w:r w:rsidRPr="00625CB6">
        <w:rPr>
          <w:rFonts w:eastAsia="Times New Roman" w:cs="Arial"/>
          <w:szCs w:val="22"/>
          <w:lang w:eastAsia="sl-SI"/>
        </w:rPr>
        <w:t xml:space="preserve">roku </w:t>
      </w:r>
      <w:r>
        <w:rPr>
          <w:rFonts w:eastAsia="Times New Roman" w:cs="Arial"/>
          <w:szCs w:val="22"/>
          <w:lang w:eastAsia="sl-SI"/>
        </w:rPr>
        <w:t>15 dni po posamezni realizaciji</w:t>
      </w:r>
      <w:r w:rsidRPr="00625CB6">
        <w:rPr>
          <w:rFonts w:eastAsia="Times New Roman" w:cs="Arial"/>
          <w:szCs w:val="22"/>
          <w:lang w:eastAsia="sl-SI"/>
        </w:rPr>
        <w:t>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3.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Občina Renče-Vogrsko soglaša s porabo presežka prihodkov nad odhodki Javnega</w:t>
      </w:r>
      <w:r w:rsidRPr="00625CB6">
        <w:rPr>
          <w:rFonts w:eastAsia="Times New Roman" w:cs="Arial"/>
          <w:szCs w:val="22"/>
          <w:lang w:eastAsia="sl-SI"/>
        </w:rPr>
        <w:t xml:space="preserve"> zavod</w:t>
      </w:r>
      <w:r>
        <w:rPr>
          <w:rFonts w:eastAsia="Times New Roman" w:cs="Arial"/>
          <w:szCs w:val="22"/>
          <w:lang w:eastAsia="sl-SI"/>
        </w:rPr>
        <w:t>a</w:t>
      </w:r>
      <w:r w:rsidRPr="00625CB6">
        <w:rPr>
          <w:rFonts w:eastAsia="Times New Roman" w:cs="Arial"/>
          <w:szCs w:val="22"/>
          <w:lang w:eastAsia="sl-SI"/>
        </w:rPr>
        <w:t xml:space="preserve"> Ljudska univerza Nova Gorica</w:t>
      </w:r>
      <w:r>
        <w:rPr>
          <w:rFonts w:eastAsia="Times New Roman" w:cs="Arial"/>
          <w:szCs w:val="22"/>
          <w:lang w:eastAsia="sl-SI"/>
        </w:rPr>
        <w:t xml:space="preserve"> tudi za plače, kot izhaja </w:t>
      </w:r>
      <w:r w:rsidRPr="00625CB6">
        <w:rPr>
          <w:rFonts w:eastAsia="Times New Roman" w:cs="Arial"/>
          <w:szCs w:val="22"/>
          <w:lang w:eastAsia="sl-SI"/>
        </w:rPr>
        <w:t xml:space="preserve">iz Plana porabe presežka prihodkov nad odhodki </w:t>
      </w:r>
      <w:r>
        <w:rPr>
          <w:rFonts w:eastAsia="Times New Roman" w:cs="Arial"/>
          <w:szCs w:val="22"/>
          <w:lang w:eastAsia="sl-SI"/>
        </w:rPr>
        <w:t xml:space="preserve">za obdobje od leta 2017 do leta 2022 </w:t>
      </w:r>
      <w:r w:rsidRPr="00625CB6">
        <w:rPr>
          <w:rFonts w:eastAsia="Times New Roman" w:cs="Arial"/>
          <w:szCs w:val="22"/>
          <w:lang w:eastAsia="sl-SI"/>
        </w:rPr>
        <w:t>z dne 2</w:t>
      </w:r>
      <w:r>
        <w:rPr>
          <w:rFonts w:eastAsia="Times New Roman" w:cs="Arial"/>
          <w:szCs w:val="22"/>
          <w:lang w:eastAsia="sl-SI"/>
        </w:rPr>
        <w:t>5</w:t>
      </w:r>
      <w:r w:rsidRPr="00625CB6">
        <w:rPr>
          <w:rFonts w:eastAsia="Times New Roman" w:cs="Arial"/>
          <w:szCs w:val="22"/>
          <w:lang w:eastAsia="sl-SI"/>
        </w:rPr>
        <w:t xml:space="preserve">. </w:t>
      </w:r>
      <w:r>
        <w:rPr>
          <w:rFonts w:eastAsia="Times New Roman" w:cs="Arial"/>
          <w:szCs w:val="22"/>
          <w:lang w:eastAsia="sl-SI"/>
        </w:rPr>
        <w:t>10</w:t>
      </w:r>
      <w:r w:rsidRPr="00625CB6">
        <w:rPr>
          <w:rFonts w:eastAsia="Times New Roman" w:cs="Arial"/>
          <w:szCs w:val="22"/>
          <w:lang w:eastAsia="sl-SI"/>
        </w:rPr>
        <w:t>. 201</w:t>
      </w:r>
      <w:r>
        <w:rPr>
          <w:rFonts w:eastAsia="Times New Roman" w:cs="Arial"/>
          <w:szCs w:val="22"/>
          <w:lang w:eastAsia="sl-SI"/>
        </w:rPr>
        <w:t>6 s popravkom z dne 17. 11. 2016</w:t>
      </w:r>
      <w:r w:rsidRPr="00625CB6">
        <w:rPr>
          <w:rFonts w:eastAsia="Times New Roman" w:cs="Arial"/>
          <w:szCs w:val="22"/>
          <w:lang w:eastAsia="sl-SI"/>
        </w:rPr>
        <w:t xml:space="preserve">, ki je priloga tega sklepa. </w:t>
      </w:r>
    </w:p>
    <w:p w:rsid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Default="001A68FD" w:rsidP="001A68FD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4.</w:t>
      </w:r>
    </w:p>
    <w:p w:rsidR="001A68FD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Z uveljavitvijo tega sklepa preneha veljati sklep št. 00701-41/2016-1.</w:t>
      </w:r>
    </w:p>
    <w:p w:rsidR="001A68FD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Default="001A68FD" w:rsidP="001A68FD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1A68FD" w:rsidRDefault="001A68FD" w:rsidP="001A68FD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5.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Ta sklep začne veljati takoj.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            </w:t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</w:r>
      <w:r w:rsidRPr="00625CB6">
        <w:rPr>
          <w:rFonts w:eastAsia="Times New Roman" w:cs="Arial"/>
          <w:szCs w:val="22"/>
          <w:lang w:eastAsia="sl-SI"/>
        </w:rPr>
        <w:tab/>
        <w:t xml:space="preserve"> 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ind w:left="5664" w:firstLine="708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Tarik Žigon</w:t>
      </w:r>
    </w:p>
    <w:p w:rsidR="001A68FD" w:rsidRPr="00625CB6" w:rsidRDefault="001A68FD" w:rsidP="001A68FD">
      <w:pPr>
        <w:spacing w:after="0" w:line="240" w:lineRule="auto"/>
        <w:ind w:left="5664" w:firstLine="708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 xml:space="preserve">   ŽUPAN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Številka: ________</w:t>
      </w:r>
    </w:p>
    <w:p w:rsidR="001A68FD" w:rsidRPr="00625CB6" w:rsidRDefault="001A68FD" w:rsidP="001A68F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625CB6">
        <w:rPr>
          <w:rFonts w:eastAsia="Times New Roman" w:cs="Arial"/>
          <w:szCs w:val="22"/>
          <w:lang w:eastAsia="sl-SI"/>
        </w:rPr>
        <w:t>Bukovica, _______</w:t>
      </w:r>
      <w:r w:rsidRPr="00625CB6">
        <w:rPr>
          <w:rFonts w:eastAsia="Times New Roman" w:cs="Arial"/>
          <w:szCs w:val="22"/>
          <w:lang w:eastAsia="sl-SI"/>
        </w:rPr>
        <w:tab/>
      </w:r>
    </w:p>
    <w:p w:rsidR="001A68FD" w:rsidRDefault="001A68FD" w:rsidP="001A68FD"/>
    <w:p w:rsidR="00C5759D" w:rsidRDefault="00C5759D"/>
    <w:sectPr w:rsidR="00C5759D" w:rsidSect="00415238">
      <w:headerReference w:type="default" r:id="rId7"/>
      <w:headerReference w:type="first" r:id="rId8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D2" w:rsidRDefault="00A02AB9">
      <w:pPr>
        <w:spacing w:after="0" w:line="240" w:lineRule="auto"/>
      </w:pPr>
      <w:r>
        <w:separator/>
      </w:r>
    </w:p>
  </w:endnote>
  <w:endnote w:type="continuationSeparator" w:id="0">
    <w:p w:rsidR="002922D2" w:rsidRDefault="00A0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D2" w:rsidRDefault="00A02AB9">
      <w:pPr>
        <w:spacing w:after="0" w:line="240" w:lineRule="auto"/>
      </w:pPr>
      <w:r>
        <w:separator/>
      </w:r>
    </w:p>
  </w:footnote>
  <w:footnote w:type="continuationSeparator" w:id="0">
    <w:p w:rsidR="002922D2" w:rsidRDefault="00A0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D" w:rsidRPr="00B426EB" w:rsidRDefault="00C969ED" w:rsidP="00C969ED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7</w:t>
    </w:r>
    <w:r w:rsidRPr="00B426EB">
      <w:rPr>
        <w:rFonts w:cs="Arial"/>
        <w:color w:val="999999"/>
        <w:sz w:val="40"/>
        <w:szCs w:val="40"/>
      </w:rPr>
      <w:t xml:space="preserve">. </w:t>
    </w:r>
    <w:r w:rsidRPr="00B426EB">
      <w:rPr>
        <w:rFonts w:cs="Arial"/>
        <w:color w:val="999999"/>
        <w:sz w:val="40"/>
        <w:szCs w:val="40"/>
      </w:rPr>
      <w:t>redna seja</w:t>
    </w:r>
    <w:r w:rsidRPr="00B426EB">
      <w:rPr>
        <w:rFonts w:cs="Arial"/>
        <w:color w:val="999999"/>
        <w:sz w:val="40"/>
        <w:szCs w:val="40"/>
      </w:rPr>
      <w:tab/>
    </w:r>
    <w:r w:rsidRPr="00B426EB">
      <w:rPr>
        <w:rFonts w:cs="Arial"/>
        <w:color w:val="999999"/>
        <w:sz w:val="40"/>
        <w:szCs w:val="40"/>
      </w:rPr>
      <w:tab/>
    </w:r>
    <w:r w:rsidR="00424E95">
      <w:rPr>
        <w:rFonts w:cs="Arial"/>
        <w:color w:val="999999"/>
        <w:sz w:val="40"/>
        <w:szCs w:val="40"/>
      </w:rPr>
      <w:t>8</w:t>
    </w:r>
    <w:r w:rsidRPr="00B426EB">
      <w:rPr>
        <w:rFonts w:cs="Arial"/>
        <w:color w:val="999999"/>
        <w:sz w:val="40"/>
        <w:szCs w:val="40"/>
      </w:rPr>
      <w:t>. točka</w:t>
    </w:r>
  </w:p>
  <w:p w:rsidR="00C969ED" w:rsidRDefault="00C969E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EB" w:rsidRPr="00B426EB" w:rsidRDefault="00C9400F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7</w:t>
    </w:r>
    <w:r w:rsidR="00B7511E" w:rsidRPr="00B426EB">
      <w:rPr>
        <w:rFonts w:cs="Arial"/>
        <w:color w:val="999999"/>
        <w:sz w:val="40"/>
        <w:szCs w:val="40"/>
      </w:rPr>
      <w:t xml:space="preserve">. </w:t>
    </w:r>
    <w:r w:rsidR="00B7511E" w:rsidRPr="00B426EB">
      <w:rPr>
        <w:rFonts w:cs="Arial"/>
        <w:color w:val="999999"/>
        <w:sz w:val="40"/>
        <w:szCs w:val="40"/>
      </w:rPr>
      <w:t>redna seja</w:t>
    </w:r>
    <w:r w:rsidR="00B7511E" w:rsidRPr="00B426EB">
      <w:rPr>
        <w:rFonts w:cs="Arial"/>
        <w:color w:val="999999"/>
        <w:sz w:val="40"/>
        <w:szCs w:val="40"/>
      </w:rPr>
      <w:tab/>
    </w:r>
    <w:r w:rsidR="00B7511E" w:rsidRPr="00B426EB">
      <w:rPr>
        <w:rFonts w:cs="Arial"/>
        <w:color w:val="999999"/>
        <w:sz w:val="40"/>
        <w:szCs w:val="40"/>
      </w:rPr>
      <w:tab/>
    </w:r>
    <w:r w:rsidR="00424E95">
      <w:rPr>
        <w:rFonts w:cs="Arial"/>
        <w:color w:val="999999"/>
        <w:sz w:val="40"/>
        <w:szCs w:val="40"/>
      </w:rPr>
      <w:t>8</w:t>
    </w:r>
    <w:r w:rsidR="00B7511E" w:rsidRPr="00B426EB">
      <w:rPr>
        <w:rFonts w:cs="Arial"/>
        <w:color w:val="999999"/>
        <w:sz w:val="40"/>
        <w:szCs w:val="40"/>
      </w:rPr>
      <w:t>. točka</w:t>
    </w:r>
  </w:p>
  <w:p w:rsidR="00B426EB" w:rsidRDefault="00424E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559D"/>
    <w:multiLevelType w:val="hybridMultilevel"/>
    <w:tmpl w:val="58FC52B2"/>
    <w:lvl w:ilvl="0" w:tplc="0610E1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4677"/>
    <w:multiLevelType w:val="hybridMultilevel"/>
    <w:tmpl w:val="52DAD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C7C05"/>
    <w:multiLevelType w:val="hybridMultilevel"/>
    <w:tmpl w:val="29C2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D"/>
    <w:rsid w:val="001A68FD"/>
    <w:rsid w:val="001F7DCF"/>
    <w:rsid w:val="002922D2"/>
    <w:rsid w:val="002D0025"/>
    <w:rsid w:val="00424E95"/>
    <w:rsid w:val="005502BF"/>
    <w:rsid w:val="006B0B99"/>
    <w:rsid w:val="00A02AB9"/>
    <w:rsid w:val="00AB04A5"/>
    <w:rsid w:val="00B2069B"/>
    <w:rsid w:val="00B73C11"/>
    <w:rsid w:val="00B7511E"/>
    <w:rsid w:val="00C5759D"/>
    <w:rsid w:val="00C76A60"/>
    <w:rsid w:val="00C9400F"/>
    <w:rsid w:val="00C969ED"/>
    <w:rsid w:val="00D3798C"/>
    <w:rsid w:val="00DF5F5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12664B-36F5-4E04-A20C-814C3A44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68FD"/>
    <w:pPr>
      <w:spacing w:after="200" w:line="276" w:lineRule="auto"/>
    </w:pPr>
    <w:rPr>
      <w:rFonts w:ascii="Arial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A6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1A68F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A68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60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9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400F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cp:lastPrinted>2019-10-07T14:07:00Z</cp:lastPrinted>
  <dcterms:created xsi:type="dcterms:W3CDTF">2019-10-08T07:08:00Z</dcterms:created>
  <dcterms:modified xsi:type="dcterms:W3CDTF">2019-10-08T07:30:00Z</dcterms:modified>
</cp:coreProperties>
</file>