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74144" w14:textId="77777777" w:rsidR="00D960AE" w:rsidRPr="00D960AE" w:rsidRDefault="00D960AE" w:rsidP="00D960AE">
      <w:pPr>
        <w:pStyle w:val="Opozorilo"/>
        <w:rPr>
          <w:szCs w:val="20"/>
        </w:rPr>
      </w:pPr>
      <w:r w:rsidRPr="00D960AE">
        <w:rPr>
          <w:szCs w:val="20"/>
        </w:rPr>
        <w:t>Opozorilo: Neuradno prečiščeno besedilo pravnega akta predstavlja zgolj informativni delovni pripomoček, glede katerega lokalna skupnost ne jamči odškodninsko ali kako drugače.</w:t>
      </w:r>
    </w:p>
    <w:p w14:paraId="424FB2EE" w14:textId="77777777" w:rsidR="00D960AE" w:rsidRPr="00D960AE" w:rsidRDefault="00D960AE" w:rsidP="00D960AE">
      <w:pPr>
        <w:pStyle w:val="Odstavek"/>
        <w:rPr>
          <w:szCs w:val="20"/>
        </w:rPr>
      </w:pPr>
      <w:r w:rsidRPr="00D960AE">
        <w:rPr>
          <w:szCs w:val="20"/>
        </w:rPr>
        <w:t>Neuradno prečiščeno besedilo Odloka o [...] obsega:</w:t>
      </w:r>
    </w:p>
    <w:p w14:paraId="06903D84" w14:textId="1A9FF630" w:rsidR="00D960AE" w:rsidRPr="00D960AE" w:rsidRDefault="00D960AE" w:rsidP="00D960AE">
      <w:pPr>
        <w:pStyle w:val="Alineazaodstavkom"/>
        <w:rPr>
          <w:szCs w:val="20"/>
        </w:rPr>
      </w:pPr>
      <w:r w:rsidRPr="00D960AE">
        <w:rPr>
          <w:szCs w:val="20"/>
        </w:rPr>
        <w:t>Odlok o turistični in promocijski taksi v Občini Renče-Vogrsko  (Uradno glasilo Občine Renče–Vogrsko, št. 7/2018)</w:t>
      </w:r>
      <w:r>
        <w:rPr>
          <w:szCs w:val="20"/>
        </w:rPr>
        <w:t>,</w:t>
      </w:r>
    </w:p>
    <w:p w14:paraId="39F5AB06" w14:textId="4DBFC382" w:rsidR="00D960AE" w:rsidRPr="00D960AE" w:rsidRDefault="00D960AE" w:rsidP="00D960AE">
      <w:pPr>
        <w:pStyle w:val="Alineazaodstavkom"/>
      </w:pPr>
      <w:r w:rsidRPr="00D960AE">
        <w:rPr>
          <w:szCs w:val="20"/>
        </w:rPr>
        <w:t>Odlok o spremembah Odloka Odloku o turistični in promocijski taksi v Občini Renče-Vogrsko  (Uradno glasilo Občine Renče–Vogrsko, št. 12/2024)</w:t>
      </w:r>
      <w:r w:rsidR="00D6484E">
        <w:rPr>
          <w:szCs w:val="20"/>
        </w:rPr>
        <w:t>.</w:t>
      </w:r>
    </w:p>
    <w:p w14:paraId="1DBDFDF3" w14:textId="0133C413" w:rsidR="00D960AE" w:rsidRPr="00D960AE" w:rsidRDefault="00D960AE" w:rsidP="00D960AE">
      <w:pPr>
        <w:pStyle w:val="Naslovpravnegaakta"/>
      </w:pPr>
      <w:r w:rsidRPr="00D960AE">
        <w:t xml:space="preserve">O D L O K </w:t>
      </w:r>
    </w:p>
    <w:p w14:paraId="7B48197A" w14:textId="080560ED" w:rsidR="00D960AE" w:rsidRDefault="00D960AE" w:rsidP="00D960AE">
      <w:pPr>
        <w:pStyle w:val="Naslovpravnegaakta"/>
      </w:pPr>
      <w:r w:rsidRPr="00D960AE">
        <w:t>o turistični in promocijski taksi v Občini Renče-Vogrsko</w:t>
      </w:r>
    </w:p>
    <w:p w14:paraId="59B642AE" w14:textId="6C090DF3" w:rsidR="004D1D3F" w:rsidRPr="00D960AE" w:rsidRDefault="004D1D3F" w:rsidP="004D1D3F">
      <w:pPr>
        <w:pStyle w:val="NPB"/>
      </w:pPr>
      <w:r w:rsidRPr="001B512A">
        <w:t>(ne</w:t>
      </w:r>
      <w:r>
        <w:t>uradno prečiščeno besedilo št. 1</w:t>
      </w:r>
      <w:r w:rsidRPr="001B512A">
        <w:t>)</w:t>
      </w:r>
    </w:p>
    <w:p w14:paraId="2A014C3B" w14:textId="3C8F0A31" w:rsidR="00D960AE" w:rsidRPr="00D960AE" w:rsidRDefault="00D960AE" w:rsidP="00D960AE">
      <w:pPr>
        <w:pStyle w:val="lennormativnidel"/>
        <w:rPr>
          <w14:ligatures w14:val="none"/>
        </w:rPr>
      </w:pPr>
      <w:r w:rsidRPr="00D960AE">
        <w:rPr>
          <w14:ligatures w14:val="none"/>
        </w:rPr>
        <w:t>1. člen</w:t>
      </w:r>
    </w:p>
    <w:p w14:paraId="41006D3A" w14:textId="4F354C9A" w:rsidR="00D960AE" w:rsidRPr="00D960AE" w:rsidRDefault="00D960AE" w:rsidP="00D960AE">
      <w:pPr>
        <w:pStyle w:val="lennormativnidel"/>
        <w:rPr>
          <w14:ligatures w14:val="none"/>
        </w:rPr>
      </w:pPr>
      <w:r w:rsidRPr="00D960AE">
        <w:rPr>
          <w14:ligatures w14:val="none"/>
        </w:rPr>
        <w:t>(vsebina odloka in pomen izrazov)</w:t>
      </w:r>
    </w:p>
    <w:p w14:paraId="4D1796D8" w14:textId="77777777" w:rsidR="00D960AE" w:rsidRPr="00D960AE" w:rsidRDefault="00D960AE" w:rsidP="00D960AE">
      <w:pPr>
        <w:pStyle w:val="Odstavek"/>
        <w:rPr>
          <w14:ligatures w14:val="none"/>
        </w:rPr>
      </w:pPr>
      <w:r w:rsidRPr="00D960AE">
        <w:rPr>
          <w14:ligatures w14:val="none"/>
        </w:rPr>
        <w:t>(1) S tem odlokom se določajo zavezanci za plačilo turistične in promocijske takse na območju Občine Renče-Vogrsko (v nadaljevanju: občina), višina turistične in promocijske takse in organ, pristojen za nadzor nad pobiranjem in odvajanjem turistične in promocijske takse ter vodenjem evidenc ter kazenske odločbe.</w:t>
      </w:r>
    </w:p>
    <w:p w14:paraId="1D02BF4D" w14:textId="77777777" w:rsidR="00D960AE" w:rsidRPr="00D960AE" w:rsidRDefault="00D960AE" w:rsidP="00D960AE">
      <w:pPr>
        <w:pStyle w:val="Odstavek"/>
      </w:pPr>
      <w:r w:rsidRPr="00D960AE">
        <w:t>(2) Odlok velja na turističnem območju, ki geografsko zaokrožuje območje Občine Renče-Vogrsko.</w:t>
      </w:r>
    </w:p>
    <w:p w14:paraId="5E80A6C7" w14:textId="788C5134" w:rsidR="00D960AE" w:rsidRPr="00D960AE" w:rsidRDefault="00D960AE" w:rsidP="00D960AE">
      <w:pPr>
        <w:pStyle w:val="Odstavek"/>
      </w:pPr>
      <w:r w:rsidRPr="00D960AE">
        <w:t>(3) Pomen izrazov, uporabljenih v odloku:</w:t>
      </w:r>
    </w:p>
    <w:p w14:paraId="5BA9E279" w14:textId="1CE782A9" w:rsidR="00D960AE" w:rsidRPr="00D960AE" w:rsidRDefault="00D960AE" w:rsidP="00D960AE">
      <w:pPr>
        <w:pStyle w:val="Odstavek"/>
      </w:pPr>
      <w:r w:rsidRPr="00D960AE">
        <w:t>»Turistična taksa« je pristojbina za prenočevanje, ki jo zavezanci plačajo kot nadomestilo za ugodnosti, ki so jim na voljo na turističnem območju in se jim ob vsakokratnem koriščenju ne zaračunavajo posebej.</w:t>
      </w:r>
    </w:p>
    <w:p w14:paraId="1F621CEB" w14:textId="77777777" w:rsidR="00D960AE" w:rsidRPr="00D960AE" w:rsidRDefault="00D960AE" w:rsidP="00D960AE">
      <w:pPr>
        <w:pStyle w:val="Odstavek"/>
      </w:pPr>
      <w:r w:rsidRPr="00D960AE">
        <w:t>»Promocijska taksa« je pristojbina, ki je namenjena za načrtovanje in izvajanje trženja ter promocijo celovite turistične ponudbe Slovenije.</w:t>
      </w:r>
    </w:p>
    <w:p w14:paraId="11FC1880" w14:textId="77777777" w:rsidR="00D960AE" w:rsidRPr="00D960AE" w:rsidRDefault="00D960AE" w:rsidP="00D960AE">
      <w:pPr>
        <w:pStyle w:val="Odstavek"/>
      </w:pPr>
      <w:r w:rsidRPr="00D960AE">
        <w:t>»Nastanitveni obrat« je hotel, motel, penzion, prenočišče, gostišče, hotelsko in apartmajsko naselje, planinski in drugi domovi, kamp, prostori pri sobodajalcu in na turistični kmetiji z nastanitvijo, privez v turističnem pristanišču ter vsak drug objekt za nastanitev turistov.</w:t>
      </w:r>
    </w:p>
    <w:p w14:paraId="0F4491A9" w14:textId="77777777" w:rsidR="00D960AE" w:rsidRPr="00D960AE" w:rsidRDefault="00D960AE" w:rsidP="00D960AE">
      <w:pPr>
        <w:pStyle w:val="lennormativnidel"/>
        <w:rPr>
          <w14:ligatures w14:val="none"/>
        </w:rPr>
      </w:pPr>
      <w:r w:rsidRPr="00D960AE">
        <w:rPr>
          <w14:ligatures w14:val="none"/>
        </w:rPr>
        <w:t>2. člen</w:t>
      </w:r>
    </w:p>
    <w:p w14:paraId="5494CBD9" w14:textId="77777777" w:rsidR="00D960AE" w:rsidRPr="00D960AE" w:rsidRDefault="00D960AE" w:rsidP="00D960AE">
      <w:pPr>
        <w:pStyle w:val="lennormativnidel"/>
        <w:rPr>
          <w14:ligatures w14:val="none"/>
        </w:rPr>
      </w:pPr>
      <w:r w:rsidRPr="00D960AE">
        <w:rPr>
          <w14:ligatures w14:val="none"/>
        </w:rPr>
        <w:t xml:space="preserve"> (zavezanci)</w:t>
      </w:r>
    </w:p>
    <w:p w14:paraId="6B5D1A4C" w14:textId="77777777" w:rsidR="00D960AE" w:rsidRPr="00D960AE" w:rsidRDefault="00D960AE" w:rsidP="00D960AE">
      <w:pPr>
        <w:pStyle w:val="Odstavek"/>
      </w:pPr>
      <w:r w:rsidRPr="00D960AE">
        <w:t>Turistično in promocijsko takso plačujejo državljani Republike Slovenije in tujci, ki prenočujejo v nastanitvenem obratu.</w:t>
      </w:r>
    </w:p>
    <w:p w14:paraId="6DC6C6F9" w14:textId="77777777" w:rsidR="00D960AE" w:rsidRPr="00D960AE" w:rsidRDefault="00D960AE" w:rsidP="00D960AE">
      <w:pPr>
        <w:pStyle w:val="lennormativnidel"/>
        <w:rPr>
          <w14:ligatures w14:val="none"/>
        </w:rPr>
      </w:pPr>
      <w:r w:rsidRPr="00D960AE">
        <w:rPr>
          <w14:ligatures w14:val="none"/>
        </w:rPr>
        <w:t>3. člen</w:t>
      </w:r>
    </w:p>
    <w:p w14:paraId="7DCC37EA" w14:textId="77777777" w:rsidR="00D960AE" w:rsidRPr="00D960AE" w:rsidRDefault="00D960AE" w:rsidP="00D960AE">
      <w:pPr>
        <w:pStyle w:val="lennormativnidel"/>
        <w:rPr>
          <w14:ligatures w14:val="none"/>
        </w:rPr>
      </w:pPr>
      <w:r w:rsidRPr="00D960AE">
        <w:rPr>
          <w14:ligatures w14:val="none"/>
        </w:rPr>
        <w:t>(višina turistične in promocijske takse)</w:t>
      </w:r>
    </w:p>
    <w:p w14:paraId="1E89F6C8" w14:textId="4233F06C" w:rsidR="00D960AE" w:rsidRPr="00D960AE" w:rsidRDefault="00D960AE" w:rsidP="00D960AE">
      <w:pPr>
        <w:pStyle w:val="Odstavek"/>
      </w:pPr>
      <w:r w:rsidRPr="00D960AE">
        <w:t>(1) Turistična taksa za prenočitev na osebo na dan znaša 2,00 eur. Promocijska taksa znaša 25 odstotkov turistične takse, to je 0,50 eur, skupna višina obeh taks znaša 2,50 eur na osebo na dan.</w:t>
      </w:r>
    </w:p>
    <w:p w14:paraId="2DCD2A5A" w14:textId="77777777" w:rsidR="00D960AE" w:rsidRPr="00D960AE" w:rsidRDefault="00D960AE" w:rsidP="00D960AE">
      <w:pPr>
        <w:pStyle w:val="Odstavek"/>
      </w:pPr>
      <w:r w:rsidRPr="00D960AE">
        <w:t xml:space="preserve">(2) Višina turistične takse, ki je opredeljena s tem členom odloka, se spremeni v sorazmerni višini, kot se zviša znesek turistične takse, ki jo uskladi  Vlada Republike Slovenije na </w:t>
      </w:r>
      <w:r w:rsidRPr="00D960AE">
        <w:lastRenderedPageBreak/>
        <w:t>podlagi gibanja cen življenjskih potrebščin enkrat na leto. Spremembo občina objavi na svojih spletni straneh, kjer opredli tudi nov zneske turistične in promocijske takse.</w:t>
      </w:r>
    </w:p>
    <w:p w14:paraId="32DE946A" w14:textId="77777777" w:rsidR="00D960AE" w:rsidRPr="00D960AE" w:rsidRDefault="00D960AE" w:rsidP="00D960AE">
      <w:pPr>
        <w:pStyle w:val="lennormativnidel"/>
        <w:rPr>
          <w14:ligatures w14:val="none"/>
        </w:rPr>
      </w:pPr>
      <w:r w:rsidRPr="00D960AE">
        <w:rPr>
          <w14:ligatures w14:val="none"/>
        </w:rPr>
        <w:t>4. člen</w:t>
      </w:r>
    </w:p>
    <w:p w14:paraId="1FF0788E" w14:textId="77777777" w:rsidR="00D960AE" w:rsidRPr="00D960AE" w:rsidRDefault="00D960AE" w:rsidP="00D960AE">
      <w:pPr>
        <w:pStyle w:val="lennormativnidel"/>
        <w:rPr>
          <w14:ligatures w14:val="none"/>
        </w:rPr>
      </w:pPr>
      <w:r w:rsidRPr="00D960AE">
        <w:rPr>
          <w14:ligatures w14:val="none"/>
        </w:rPr>
        <w:t xml:space="preserve"> (nadzor)</w:t>
      </w:r>
    </w:p>
    <w:p w14:paraId="674DB574" w14:textId="77777777" w:rsidR="00D960AE" w:rsidRPr="00D960AE" w:rsidRDefault="00D960AE" w:rsidP="00D960AE">
      <w:pPr>
        <w:pStyle w:val="Odstavek"/>
      </w:pPr>
      <w:r w:rsidRPr="00D960AE">
        <w:t xml:space="preserve">Medobčinska uprava občin Šempeter-Vrtojba, Renče-Vogrsko, Miren-Kostanjevica, Vipava in Ajdovščina, kot občinski inšpekcijski organ, je pristojen za nadzor nad izvajanjem tega odloka. </w:t>
      </w:r>
    </w:p>
    <w:p w14:paraId="384A93A5" w14:textId="2D987B0C" w:rsidR="00D960AE" w:rsidRPr="00D960AE" w:rsidRDefault="00D960AE" w:rsidP="00D960AE">
      <w:pPr>
        <w:pStyle w:val="Prehodneinkonnedolobezakljunidel"/>
      </w:pPr>
      <w:r w:rsidRPr="00D960AE">
        <w:t>Odlok o turistični in promocijski taksi v Občini Renče-Vogrsko  (Uradno glasilo Občine Renče–Vogrsko, št. 7/2018)</w:t>
      </w:r>
      <w:r>
        <w:t xml:space="preserve"> </w:t>
      </w:r>
      <w:r w:rsidRPr="00EF6BA6">
        <w:t>vsebuje</w:t>
      </w:r>
      <w:r w:rsidRPr="005F1BD9">
        <w:t xml:space="preserve"> naslednjo končno določbo:</w:t>
      </w:r>
    </w:p>
    <w:p w14:paraId="2B370320" w14:textId="1AB96875" w:rsidR="00D960AE" w:rsidRPr="00D960AE" w:rsidRDefault="00D960AE" w:rsidP="00D960AE">
      <w:pPr>
        <w:pStyle w:val="lenprehodneinkonnedolobe"/>
        <w:rPr>
          <w14:ligatures w14:val="none"/>
        </w:rPr>
      </w:pPr>
      <w:r>
        <w:rPr>
          <w14:ligatures w14:val="none"/>
        </w:rPr>
        <w:t>»</w:t>
      </w:r>
      <w:r w:rsidRPr="00D960AE">
        <w:rPr>
          <w14:ligatures w14:val="none"/>
        </w:rPr>
        <w:t>5. člen</w:t>
      </w:r>
    </w:p>
    <w:p w14:paraId="787FB03F" w14:textId="77777777" w:rsidR="00D960AE" w:rsidRPr="00D960AE" w:rsidRDefault="00D960AE" w:rsidP="00D960AE">
      <w:pPr>
        <w:pStyle w:val="lenprehodneinkonnedolobe"/>
        <w:rPr>
          <w14:ligatures w14:val="none"/>
        </w:rPr>
      </w:pPr>
      <w:r w:rsidRPr="00D960AE">
        <w:rPr>
          <w14:ligatures w14:val="none"/>
        </w:rPr>
        <w:t>(začetek veljavnosti)</w:t>
      </w:r>
    </w:p>
    <w:p w14:paraId="0F89B9F6" w14:textId="537747BE" w:rsidR="00D960AE" w:rsidRPr="00D960AE" w:rsidRDefault="00D960AE" w:rsidP="00D960AE">
      <w:pPr>
        <w:pStyle w:val="Odstavek"/>
      </w:pPr>
      <w:r w:rsidRPr="00D960AE">
        <w:t>Ta odlok začne veljati petnajsti dan po objavi v Uradnih objavah v občinskem glasilu, uporabljati pa se začne 1. 1. 2019.</w:t>
      </w:r>
      <w:r>
        <w:t>«</w:t>
      </w:r>
    </w:p>
    <w:p w14:paraId="15D65ED9" w14:textId="77777777" w:rsidR="00D960AE" w:rsidRPr="00D960AE" w:rsidRDefault="00D960AE" w:rsidP="00D960AE">
      <w:pPr>
        <w:pStyle w:val="Prehodneinkonnedolobezakljunidel"/>
        <w:rPr>
          <w:szCs w:val="22"/>
        </w:rPr>
      </w:pPr>
      <w:r w:rsidRPr="00D960AE">
        <w:rPr>
          <w:rFonts w:cs="Arial"/>
        </w:rPr>
        <w:t xml:space="preserve">Odlok o spremembah Odloka </w:t>
      </w:r>
      <w:r w:rsidRPr="00D960AE">
        <w:t>Odloku o turistični in promocijski taksi v Občini Renče-Vogrsko  (Uradno glasilo Občine Renče–Vogrsko, št. 12/2024)</w:t>
      </w:r>
    </w:p>
    <w:p w14:paraId="02EA63DF" w14:textId="3C246392" w:rsidR="00D960AE" w:rsidRPr="00B202D0" w:rsidRDefault="00D960AE" w:rsidP="00D960AE">
      <w:pPr>
        <w:pStyle w:val="Poglavje"/>
      </w:pPr>
      <w:r>
        <w:t>»</w:t>
      </w:r>
      <w:r w:rsidRPr="00B202D0">
        <w:t>KONČA DOLOČBA</w:t>
      </w:r>
    </w:p>
    <w:p w14:paraId="7506090C" w14:textId="1BDAB4A8" w:rsidR="00D960AE" w:rsidRPr="000C1C1B" w:rsidRDefault="00D960AE" w:rsidP="00D960AE">
      <w:pPr>
        <w:pStyle w:val="lenprehodneinkonnedolobe"/>
      </w:pPr>
      <w:r w:rsidRPr="000C1C1B">
        <w:t>2. člen</w:t>
      </w:r>
      <w:r>
        <w:br/>
      </w:r>
      <w:r w:rsidRPr="000C1C1B">
        <w:t>(začetek veljavnosti)</w:t>
      </w:r>
    </w:p>
    <w:p w14:paraId="0396038E" w14:textId="77777777" w:rsidR="00D960AE" w:rsidRPr="006F517C" w:rsidRDefault="00D960AE" w:rsidP="00D960AE">
      <w:pPr>
        <w:pStyle w:val="Odstavek"/>
      </w:pPr>
      <w:r w:rsidRPr="004B269D">
        <w:t xml:space="preserve">Ta odlok začne veljati petnajsti dan po objavi v Uradnih objavah v občinskem glasilu, uporabljati pa se </w:t>
      </w:r>
      <w:r w:rsidRPr="008F683E">
        <w:t>začne 1. januarja 2025.</w:t>
      </w:r>
    </w:p>
    <w:p w14:paraId="705DB1D5" w14:textId="77777777" w:rsidR="001505C3" w:rsidRPr="00D960AE" w:rsidRDefault="001505C3">
      <w:pPr>
        <w:rPr>
          <w:rFonts w:ascii="Arial" w:hAnsi="Arial" w:cs="Arial"/>
          <w:sz w:val="20"/>
          <w:szCs w:val="20"/>
        </w:rPr>
      </w:pPr>
    </w:p>
    <w:sectPr w:rsidR="001505C3" w:rsidRPr="00D960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870AC5"/>
    <w:multiLevelType w:val="hybridMultilevel"/>
    <w:tmpl w:val="F8764D2C"/>
    <w:lvl w:ilvl="0" w:tplc="99C80952">
      <w:start w:val="1"/>
      <w:numFmt w:val="bullet"/>
      <w:pStyle w:val="Alineazaodstavkom"/>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695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960AE"/>
    <w:rsid w:val="001505C3"/>
    <w:rsid w:val="00203A43"/>
    <w:rsid w:val="00370A0D"/>
    <w:rsid w:val="003F1E49"/>
    <w:rsid w:val="004D1D3F"/>
    <w:rsid w:val="006960E2"/>
    <w:rsid w:val="007139B0"/>
    <w:rsid w:val="00B218AA"/>
    <w:rsid w:val="00D6484E"/>
    <w:rsid w:val="00D960AE"/>
    <w:rsid w:val="00DA2B1D"/>
    <w:rsid w:val="00E07ED2"/>
    <w:rsid w:val="00E342FF"/>
    <w:rsid w:val="00E41204"/>
    <w:rsid w:val="00E560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FDB1"/>
  <w15:chartTrackingRefBased/>
  <w15:docId w15:val="{8A6ED7DD-E8B0-4864-851E-D1C14CDC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960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960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960A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960A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960A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960AE"/>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960AE"/>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960AE"/>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960AE"/>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960A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960A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960A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960A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960A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960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960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960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960AE"/>
    <w:rPr>
      <w:rFonts w:eastAsiaTheme="majorEastAsia" w:cstheme="majorBidi"/>
      <w:color w:val="272727" w:themeColor="text1" w:themeTint="D8"/>
    </w:rPr>
  </w:style>
  <w:style w:type="paragraph" w:styleId="Naslov">
    <w:name w:val="Title"/>
    <w:basedOn w:val="Navaden"/>
    <w:next w:val="Navaden"/>
    <w:link w:val="NaslovZnak"/>
    <w:uiPriority w:val="10"/>
    <w:qFormat/>
    <w:rsid w:val="00D960AE"/>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960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960AE"/>
    <w:pPr>
      <w:numPr>
        <w:ilvl w:val="1"/>
      </w:numPr>
      <w:spacing w:after="160"/>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960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960AE"/>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D960AE"/>
    <w:rPr>
      <w:i/>
      <w:iCs/>
      <w:color w:val="404040" w:themeColor="text1" w:themeTint="BF"/>
    </w:rPr>
  </w:style>
  <w:style w:type="paragraph" w:styleId="Odstavekseznama">
    <w:name w:val="List Paragraph"/>
    <w:basedOn w:val="Navaden"/>
    <w:uiPriority w:val="34"/>
    <w:qFormat/>
    <w:rsid w:val="00D960AE"/>
    <w:pPr>
      <w:ind w:left="720"/>
      <w:contextualSpacing/>
    </w:pPr>
  </w:style>
  <w:style w:type="character" w:styleId="Intenzivenpoudarek">
    <w:name w:val="Intense Emphasis"/>
    <w:basedOn w:val="Privzetapisavaodstavka"/>
    <w:uiPriority w:val="21"/>
    <w:qFormat/>
    <w:rsid w:val="00D960AE"/>
    <w:rPr>
      <w:i/>
      <w:iCs/>
      <w:color w:val="2F5496" w:themeColor="accent1" w:themeShade="BF"/>
    </w:rPr>
  </w:style>
  <w:style w:type="paragraph" w:styleId="Intenzivencitat">
    <w:name w:val="Intense Quote"/>
    <w:basedOn w:val="Navaden"/>
    <w:next w:val="Navaden"/>
    <w:link w:val="IntenzivencitatZnak"/>
    <w:uiPriority w:val="30"/>
    <w:qFormat/>
    <w:rsid w:val="00D960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960AE"/>
    <w:rPr>
      <w:i/>
      <w:iCs/>
      <w:color w:val="2F5496" w:themeColor="accent1" w:themeShade="BF"/>
    </w:rPr>
  </w:style>
  <w:style w:type="character" w:styleId="Intenzivensklic">
    <w:name w:val="Intense Reference"/>
    <w:basedOn w:val="Privzetapisavaodstavka"/>
    <w:uiPriority w:val="32"/>
    <w:qFormat/>
    <w:rsid w:val="00D960AE"/>
    <w:rPr>
      <w:b/>
      <w:bCs/>
      <w:smallCaps/>
      <w:color w:val="2F5496" w:themeColor="accent1" w:themeShade="BF"/>
      <w:spacing w:val="5"/>
    </w:rPr>
  </w:style>
  <w:style w:type="paragraph" w:customStyle="1" w:styleId="Odstavek">
    <w:name w:val="Odstavek"/>
    <w:basedOn w:val="Navaden"/>
    <w:link w:val="OdstavekZnak"/>
    <w:qFormat/>
    <w:rsid w:val="00D960AE"/>
    <w:pPr>
      <w:overflowPunct w:val="0"/>
      <w:autoSpaceDE w:val="0"/>
      <w:autoSpaceDN w:val="0"/>
      <w:adjustRightInd w:val="0"/>
      <w:spacing w:before="240"/>
      <w:ind w:firstLine="1021"/>
      <w:textAlignment w:val="baseline"/>
    </w:pPr>
    <w:rPr>
      <w:rFonts w:ascii="Arial" w:eastAsia="Times New Roman" w:hAnsi="Arial" w:cs="Arial"/>
      <w:kern w:val="0"/>
      <w:sz w:val="20"/>
      <w:lang w:eastAsia="sl-SI"/>
    </w:rPr>
  </w:style>
  <w:style w:type="character" w:customStyle="1" w:styleId="OdstavekZnak">
    <w:name w:val="Odstavek Znak"/>
    <w:basedOn w:val="Privzetapisavaodstavka"/>
    <w:link w:val="Odstavek"/>
    <w:rsid w:val="00D960AE"/>
    <w:rPr>
      <w:rFonts w:ascii="Arial" w:eastAsia="Times New Roman" w:hAnsi="Arial" w:cs="Arial"/>
      <w:kern w:val="0"/>
      <w:sz w:val="20"/>
      <w:lang w:eastAsia="sl-SI"/>
    </w:rPr>
  </w:style>
  <w:style w:type="paragraph" w:customStyle="1" w:styleId="Alineazaodstavkom">
    <w:name w:val="Alinea za odstavkom"/>
    <w:basedOn w:val="Navaden"/>
    <w:link w:val="AlineazaodstavkomZnak"/>
    <w:qFormat/>
    <w:rsid w:val="00D960AE"/>
    <w:pPr>
      <w:numPr>
        <w:numId w:val="1"/>
      </w:numPr>
    </w:pPr>
    <w:rPr>
      <w:rFonts w:ascii="Arial" w:eastAsia="Times New Roman" w:hAnsi="Arial" w:cs="Arial"/>
      <w:kern w:val="0"/>
      <w:sz w:val="20"/>
      <w:lang w:eastAsia="sl-SI"/>
    </w:rPr>
  </w:style>
  <w:style w:type="character" w:customStyle="1" w:styleId="AlineazaodstavkomZnak">
    <w:name w:val="Alinea za odstavkom Znak"/>
    <w:basedOn w:val="Privzetapisavaodstavka"/>
    <w:link w:val="Alineazaodstavkom"/>
    <w:rsid w:val="00D960AE"/>
    <w:rPr>
      <w:rFonts w:ascii="Arial" w:eastAsia="Times New Roman" w:hAnsi="Arial" w:cs="Arial"/>
      <w:kern w:val="0"/>
      <w:sz w:val="20"/>
      <w:lang w:eastAsia="sl-SI"/>
    </w:rPr>
  </w:style>
  <w:style w:type="paragraph" w:customStyle="1" w:styleId="Opozorilo">
    <w:name w:val="Opozorilo"/>
    <w:basedOn w:val="Navaden"/>
    <w:link w:val="OpozoriloZnak"/>
    <w:qFormat/>
    <w:rsid w:val="00D960AE"/>
    <w:pPr>
      <w:overflowPunct w:val="0"/>
      <w:autoSpaceDE w:val="0"/>
      <w:autoSpaceDN w:val="0"/>
      <w:adjustRightInd w:val="0"/>
      <w:textAlignment w:val="baseline"/>
    </w:pPr>
    <w:rPr>
      <w:rFonts w:ascii="Arial" w:eastAsia="Times New Roman" w:hAnsi="Arial" w:cs="Arial"/>
      <w:color w:val="808080"/>
      <w:kern w:val="0"/>
      <w:sz w:val="20"/>
      <w:lang w:eastAsia="sl-SI"/>
    </w:rPr>
  </w:style>
  <w:style w:type="character" w:customStyle="1" w:styleId="OpozoriloZnak">
    <w:name w:val="Opozorilo Znak"/>
    <w:basedOn w:val="Privzetapisavaodstavka"/>
    <w:link w:val="Opozorilo"/>
    <w:rsid w:val="00D960AE"/>
    <w:rPr>
      <w:rFonts w:ascii="Arial" w:eastAsia="Times New Roman" w:hAnsi="Arial" w:cs="Arial"/>
      <w:color w:val="808080"/>
      <w:kern w:val="0"/>
      <w:sz w:val="20"/>
      <w:lang w:eastAsia="sl-SI"/>
    </w:rPr>
  </w:style>
  <w:style w:type="paragraph" w:customStyle="1" w:styleId="Naslovpravnegaakta">
    <w:name w:val="Naslov pravnega akta"/>
    <w:basedOn w:val="Navaden"/>
    <w:link w:val="NaslovpravnegaaktaZnak"/>
    <w:qFormat/>
    <w:rsid w:val="00D960AE"/>
    <w:pPr>
      <w:suppressAutoHyphens/>
      <w:overflowPunct w:val="0"/>
      <w:autoSpaceDE w:val="0"/>
      <w:autoSpaceDN w:val="0"/>
      <w:adjustRightInd w:val="0"/>
      <w:spacing w:before="480"/>
      <w:contextualSpacing/>
      <w:jc w:val="center"/>
      <w:textAlignment w:val="baseline"/>
    </w:pPr>
    <w:rPr>
      <w:rFonts w:ascii="Arial" w:eastAsia="Times New Roman" w:hAnsi="Arial" w:cs="Arial"/>
      <w:b/>
      <w:kern w:val="0"/>
      <w:sz w:val="20"/>
      <w:lang w:eastAsia="sl-SI"/>
    </w:rPr>
  </w:style>
  <w:style w:type="character" w:customStyle="1" w:styleId="NaslovpravnegaaktaZnak">
    <w:name w:val="Naslov pravnega akta Znak"/>
    <w:basedOn w:val="Privzetapisavaodstavka"/>
    <w:link w:val="Naslovpravnegaakta"/>
    <w:rsid w:val="00D960AE"/>
    <w:rPr>
      <w:rFonts w:ascii="Arial" w:eastAsia="Times New Roman" w:hAnsi="Arial" w:cs="Arial"/>
      <w:b/>
      <w:kern w:val="0"/>
      <w:sz w:val="20"/>
      <w:lang w:eastAsia="sl-SI"/>
    </w:rPr>
  </w:style>
  <w:style w:type="paragraph" w:customStyle="1" w:styleId="lennormativnidel">
    <w:name w:val="Člen – normativni del"/>
    <w:basedOn w:val="Navaden"/>
    <w:next w:val="Odstavek"/>
    <w:link w:val="lennormativnidelZnak"/>
    <w:qFormat/>
    <w:rsid w:val="00D960AE"/>
    <w:pPr>
      <w:suppressAutoHyphens/>
      <w:overflowPunct w:val="0"/>
      <w:autoSpaceDE w:val="0"/>
      <w:autoSpaceDN w:val="0"/>
      <w:adjustRightInd w:val="0"/>
      <w:spacing w:before="480"/>
      <w:contextualSpacing/>
      <w:jc w:val="center"/>
      <w:textAlignment w:val="baseline"/>
    </w:pPr>
    <w:rPr>
      <w:rFonts w:ascii="Arial" w:eastAsia="Times New Roman" w:hAnsi="Arial" w:cs="Arial"/>
      <w:b/>
      <w:kern w:val="0"/>
      <w:sz w:val="20"/>
      <w:lang w:eastAsia="sl-SI"/>
    </w:rPr>
  </w:style>
  <w:style w:type="character" w:customStyle="1" w:styleId="lennormativnidelZnak">
    <w:name w:val="Člen – normativni del Znak"/>
    <w:basedOn w:val="Privzetapisavaodstavka"/>
    <w:link w:val="lennormativnidel"/>
    <w:rsid w:val="00D960AE"/>
    <w:rPr>
      <w:rFonts w:ascii="Arial" w:eastAsia="Times New Roman" w:hAnsi="Arial" w:cs="Arial"/>
      <w:b/>
      <w:kern w:val="0"/>
      <w:sz w:val="20"/>
      <w:lang w:eastAsia="sl-SI"/>
    </w:rPr>
  </w:style>
  <w:style w:type="paragraph" w:customStyle="1" w:styleId="Prehodneinkonnedolobezakljunidel">
    <w:name w:val="Prehodne in končne določbe – zaključni del"/>
    <w:basedOn w:val="Navaden"/>
    <w:rsid w:val="00D960AE"/>
    <w:pPr>
      <w:overflowPunct w:val="0"/>
      <w:autoSpaceDE w:val="0"/>
      <w:autoSpaceDN w:val="0"/>
      <w:adjustRightInd w:val="0"/>
      <w:spacing w:before="400" w:after="400"/>
      <w:textAlignment w:val="baseline"/>
    </w:pPr>
    <w:rPr>
      <w:rFonts w:ascii="Arial" w:eastAsia="Times New Roman" w:hAnsi="Arial" w:cs="Times New Roman"/>
      <w:b/>
      <w:kern w:val="0"/>
      <w:sz w:val="20"/>
      <w:szCs w:val="16"/>
      <w:lang w:eastAsia="sl-SI"/>
    </w:rPr>
  </w:style>
  <w:style w:type="paragraph" w:customStyle="1" w:styleId="lenprehodneinkonnedolobe">
    <w:name w:val="Člen – prehodne in končne določbe"/>
    <w:basedOn w:val="lennormativnidel"/>
    <w:next w:val="Odstavek"/>
    <w:link w:val="lenprehodneinkonnedolobeZnak"/>
    <w:qFormat/>
    <w:rsid w:val="00D960AE"/>
    <w:rPr>
      <w:b w:val="0"/>
    </w:rPr>
  </w:style>
  <w:style w:type="character" w:customStyle="1" w:styleId="lenprehodneinkonnedolobeZnak">
    <w:name w:val="Člen – prehodne in končne določbe Znak"/>
    <w:basedOn w:val="lennormativnidelZnak"/>
    <w:link w:val="lenprehodneinkonnedolobe"/>
    <w:rsid w:val="00D960AE"/>
    <w:rPr>
      <w:rFonts w:ascii="Arial" w:eastAsia="Times New Roman" w:hAnsi="Arial" w:cs="Arial"/>
      <w:b w:val="0"/>
      <w:kern w:val="0"/>
      <w:sz w:val="20"/>
      <w:lang w:eastAsia="sl-SI"/>
    </w:rPr>
  </w:style>
  <w:style w:type="paragraph" w:customStyle="1" w:styleId="Poglavje">
    <w:name w:val="Poglavje"/>
    <w:basedOn w:val="Navaden"/>
    <w:qFormat/>
    <w:rsid w:val="00D960AE"/>
    <w:pPr>
      <w:suppressAutoHyphens/>
      <w:overflowPunct w:val="0"/>
      <w:autoSpaceDE w:val="0"/>
      <w:autoSpaceDN w:val="0"/>
      <w:adjustRightInd w:val="0"/>
      <w:spacing w:before="480"/>
      <w:jc w:val="center"/>
      <w:textAlignment w:val="baseline"/>
    </w:pPr>
    <w:rPr>
      <w:rFonts w:ascii="Arial" w:eastAsia="Times New Roman" w:hAnsi="Arial" w:cs="Arial"/>
      <w:kern w:val="0"/>
      <w:sz w:val="20"/>
      <w:lang w:eastAsia="sl-SI"/>
    </w:rPr>
  </w:style>
  <w:style w:type="paragraph" w:customStyle="1" w:styleId="NPB">
    <w:name w:val="NPB"/>
    <w:basedOn w:val="Navaden"/>
    <w:qFormat/>
    <w:rsid w:val="004D1D3F"/>
    <w:pPr>
      <w:suppressAutoHyphens/>
      <w:overflowPunct w:val="0"/>
      <w:autoSpaceDE w:val="0"/>
      <w:autoSpaceDN w:val="0"/>
      <w:adjustRightInd w:val="0"/>
      <w:spacing w:before="480"/>
      <w:jc w:val="center"/>
      <w:textAlignment w:val="baseline"/>
    </w:pPr>
    <w:rPr>
      <w:rFonts w:ascii="Arial" w:eastAsia="Times New Roman" w:hAnsi="Arial" w:cs="Arial"/>
      <w:b/>
      <w:bCs/>
      <w:color w:val="000000"/>
      <w:kern w:val="0"/>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Glušič</dc:creator>
  <cp:keywords/>
  <dc:description/>
  <cp:lastModifiedBy>Špela Glušič</cp:lastModifiedBy>
  <cp:revision>3</cp:revision>
  <dcterms:created xsi:type="dcterms:W3CDTF">2024-10-08T11:48:00Z</dcterms:created>
  <dcterms:modified xsi:type="dcterms:W3CDTF">2024-10-09T12:05:00Z</dcterms:modified>
</cp:coreProperties>
</file>