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FEAE" w14:textId="77777777" w:rsidR="00721834" w:rsidRDefault="00855ADE">
      <w:pPr>
        <w:jc w:val="center"/>
      </w:pPr>
      <w:r>
        <w:rPr>
          <w:noProof/>
        </w:rPr>
        <w:drawing>
          <wp:inline distT="0" distB="0" distL="0" distR="0" wp14:anchorId="73373ED7" wp14:editId="2972A821">
            <wp:extent cx="936000" cy="12617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_rence_vogrsko.png"/>
                    <pic:cNvPicPr/>
                  </pic:nvPicPr>
                  <pic:blipFill>
                    <a:blip r:embed="rId8"/>
                    <a:stretch>
                      <a:fillRect/>
                    </a:stretch>
                  </pic:blipFill>
                  <pic:spPr>
                    <a:xfrm>
                      <a:off x="0" y="0"/>
                      <a:ext cx="936000" cy="1261728"/>
                    </a:xfrm>
                    <a:prstGeom prst="rect">
                      <a:avLst/>
                    </a:prstGeom>
                  </pic:spPr>
                </pic:pic>
              </a:graphicData>
            </a:graphic>
          </wp:inline>
        </w:drawing>
      </w:r>
    </w:p>
    <w:p w14:paraId="31E6385F" w14:textId="77777777" w:rsidR="00721834" w:rsidRDefault="00855ADE">
      <w:pPr>
        <w:jc w:val="center"/>
      </w:pPr>
      <w:r>
        <w:rPr>
          <w:b/>
          <w:color w:val="1F4E2F"/>
          <w:sz w:val="44"/>
        </w:rPr>
        <w:t>POROČILO O DELOVANJU SONČNIH ELEKTRARN</w:t>
      </w:r>
      <w:r>
        <w:rPr>
          <w:b/>
          <w:color w:val="1F4E2F"/>
          <w:sz w:val="44"/>
        </w:rPr>
        <w:br/>
        <w:t>OBČINE RENČE-VOGRSKO</w:t>
      </w:r>
    </w:p>
    <w:p w14:paraId="680D6236" w14:textId="77777777" w:rsidR="00721834" w:rsidRDefault="00855ADE">
      <w:pPr>
        <w:jc w:val="center"/>
      </w:pPr>
      <w:r>
        <w:rPr>
          <w:color w:val="505050"/>
          <w:sz w:val="26"/>
        </w:rPr>
        <w:t>POŠ Vogrsko | POŠ Bukovica | OŠ Renče</w:t>
      </w:r>
    </w:p>
    <w:tbl>
      <w:tblPr>
        <w:tblW w:w="0" w:type="auto"/>
        <w:jc w:val="center"/>
        <w:tblLook w:val="04A0" w:firstRow="1" w:lastRow="0" w:firstColumn="1" w:lastColumn="0" w:noHBand="0" w:noVBand="1"/>
      </w:tblPr>
      <w:tblGrid>
        <w:gridCol w:w="2578"/>
        <w:gridCol w:w="2578"/>
        <w:gridCol w:w="2578"/>
        <w:gridCol w:w="2578"/>
      </w:tblGrid>
      <w:tr w:rsidR="00721834" w14:paraId="194ADF8F" w14:textId="77777777">
        <w:trPr>
          <w:jc w:val="center"/>
        </w:trPr>
        <w:tc>
          <w:tcPr>
            <w:tcW w:w="2578" w:type="dxa"/>
            <w:shd w:val="clear" w:color="auto" w:fill="E8F1EA"/>
          </w:tcPr>
          <w:p w14:paraId="647D9951" w14:textId="77777777" w:rsidR="00721834" w:rsidRDefault="00855ADE">
            <w:pPr>
              <w:jc w:val="center"/>
            </w:pPr>
            <w:r>
              <w:rPr>
                <w:b/>
                <w:color w:val="1F4E2F"/>
                <w:sz w:val="30"/>
              </w:rPr>
              <w:t>165,6 kWp</w:t>
            </w:r>
            <w:r>
              <w:rPr>
                <w:b/>
                <w:color w:val="1F4E2F"/>
                <w:sz w:val="30"/>
              </w:rPr>
              <w:br/>
            </w:r>
            <w:r>
              <w:rPr>
                <w:sz w:val="16"/>
              </w:rPr>
              <w:t>Skupna moč</w:t>
            </w:r>
          </w:p>
        </w:tc>
        <w:tc>
          <w:tcPr>
            <w:tcW w:w="2578" w:type="dxa"/>
            <w:shd w:val="clear" w:color="auto" w:fill="E8F1EA"/>
          </w:tcPr>
          <w:p w14:paraId="416FA140" w14:textId="77777777" w:rsidR="00721834" w:rsidRDefault="00855ADE">
            <w:pPr>
              <w:jc w:val="center"/>
            </w:pPr>
            <w:r>
              <w:rPr>
                <w:b/>
                <w:color w:val="1F4E2F"/>
                <w:sz w:val="30"/>
              </w:rPr>
              <w:t>155,3 MWh</w:t>
            </w:r>
            <w:r>
              <w:rPr>
                <w:b/>
                <w:color w:val="1F4E2F"/>
                <w:sz w:val="30"/>
              </w:rPr>
              <w:br/>
            </w:r>
            <w:r>
              <w:rPr>
                <w:sz w:val="16"/>
              </w:rPr>
              <w:t>Proizvodnja</w:t>
            </w:r>
          </w:p>
        </w:tc>
        <w:tc>
          <w:tcPr>
            <w:tcW w:w="2578" w:type="dxa"/>
            <w:shd w:val="clear" w:color="auto" w:fill="E8F1EA"/>
          </w:tcPr>
          <w:p w14:paraId="7289F282" w14:textId="77777777" w:rsidR="00721834" w:rsidRDefault="00855ADE">
            <w:pPr>
              <w:jc w:val="center"/>
            </w:pPr>
            <w:r>
              <w:rPr>
                <w:b/>
                <w:color w:val="1F4E2F"/>
                <w:sz w:val="30"/>
              </w:rPr>
              <w:t>60 t</w:t>
            </w:r>
            <w:r>
              <w:rPr>
                <w:b/>
                <w:color w:val="1F4E2F"/>
                <w:sz w:val="30"/>
              </w:rPr>
              <w:br/>
            </w:r>
            <w:r>
              <w:rPr>
                <w:sz w:val="16"/>
              </w:rPr>
              <w:t>CO2 ekvivalent</w:t>
            </w:r>
          </w:p>
        </w:tc>
        <w:tc>
          <w:tcPr>
            <w:tcW w:w="2578" w:type="dxa"/>
            <w:shd w:val="clear" w:color="auto" w:fill="E8F1EA"/>
          </w:tcPr>
          <w:p w14:paraId="31295266" w14:textId="77777777" w:rsidR="00721834" w:rsidRDefault="00855ADE">
            <w:pPr>
              <w:jc w:val="center"/>
            </w:pPr>
            <w:r>
              <w:rPr>
                <w:b/>
                <w:color w:val="1F4E2F"/>
                <w:sz w:val="30"/>
              </w:rPr>
              <w:t>3</w:t>
            </w:r>
            <w:r>
              <w:rPr>
                <w:b/>
                <w:color w:val="1F4E2F"/>
                <w:sz w:val="30"/>
              </w:rPr>
              <w:br/>
            </w:r>
            <w:r>
              <w:rPr>
                <w:sz w:val="16"/>
              </w:rPr>
              <w:t>Objekti</w:t>
            </w:r>
          </w:p>
        </w:tc>
      </w:tr>
    </w:tbl>
    <w:p w14:paraId="686F35E2" w14:textId="77777777" w:rsidR="00721834" w:rsidRDefault="00721834"/>
    <w:p w14:paraId="0D72FD24" w14:textId="77777777" w:rsidR="00721834" w:rsidRDefault="00855ADE">
      <w:pPr>
        <w:jc w:val="center"/>
      </w:pPr>
      <w:r>
        <w:rPr>
          <w:i/>
        </w:rPr>
        <w:t>Razširjena, strokovno urejena in grafično oblikovana verzija poročila za občinske svetnike.</w:t>
      </w:r>
    </w:p>
    <w:p w14:paraId="0F65FFFC" w14:textId="77777777" w:rsidR="00721834" w:rsidRDefault="00855ADE">
      <w:r>
        <w:br w:type="page"/>
      </w:r>
    </w:p>
    <w:p w14:paraId="571A18F9" w14:textId="77777777" w:rsidR="00721834" w:rsidRDefault="00855ADE">
      <w:pPr>
        <w:pStyle w:val="Naslov1"/>
      </w:pPr>
      <w:r>
        <w:rPr>
          <w:rFonts w:ascii="Arial" w:hAnsi="Arial"/>
        </w:rPr>
        <w:lastRenderedPageBreak/>
        <w:t>1. Povzetek za občinski svet</w:t>
      </w:r>
    </w:p>
    <w:p w14:paraId="1F3CEBAA" w14:textId="12474423" w:rsidR="00721834" w:rsidRDefault="00855ADE">
      <w:r>
        <w:t xml:space="preserve">V obravnavanem obdobju od 3. maja 2025 do 9. aprila 2026 so tri sončne elektrarne v lasti oziroma upravljanju občine proizvedle skupaj 155,3 MWh električne energije. To predstavlja približno 155300 kWh lokalno proizvedene energije in ocenjeni prihranek 60 ton CO2 ekvivalenta. Ključna ugotovitev ni samo razmerje do projektiranih ocen, temveč predvsem razlika med posameznimi objekti: POŠ Vogrsko in OŠ Renče </w:t>
      </w:r>
      <w:proofErr w:type="spellStart"/>
      <w:r>
        <w:t>izkazujeta</w:t>
      </w:r>
      <w:proofErr w:type="spellEnd"/>
      <w:r>
        <w:t xml:space="preserve"> </w:t>
      </w:r>
      <w:proofErr w:type="spellStart"/>
      <w:r>
        <w:t>razmeroma</w:t>
      </w:r>
      <w:proofErr w:type="spellEnd"/>
      <w:r>
        <w:t xml:space="preserve"> </w:t>
      </w:r>
      <w:proofErr w:type="spellStart"/>
      <w:r>
        <w:t>pričakovano</w:t>
      </w:r>
      <w:proofErr w:type="spellEnd"/>
      <w:r>
        <w:t xml:space="preserve"> </w:t>
      </w:r>
      <w:proofErr w:type="spellStart"/>
      <w:r>
        <w:t>obratovanje</w:t>
      </w:r>
      <w:proofErr w:type="spellEnd"/>
      <w:r w:rsidR="00C5539B">
        <w:t>.</w:t>
      </w:r>
    </w:p>
    <w:p w14:paraId="7F299F1D" w14:textId="77777777" w:rsidR="00721834" w:rsidRDefault="00855ADE">
      <w:r>
        <w:t>Za odločanje občinskega sveta je najpomembnejše, da se vzpostavi redno letno poročanje: proizvodnja, lastna raba, oddaja v omrežje, obračunska bilanca po skupnostih, kazalnik kWh/kWp in seznam odprtih tehničnih ukrepov. S tem se sončne elektrarne obravnava kot aktivno infrastrukturo, ne zgolj kot izvedeno investicijo.</w:t>
      </w:r>
    </w:p>
    <w:tbl>
      <w:tblPr>
        <w:tblStyle w:val="Tabelamrea"/>
        <w:tblW w:w="0" w:type="auto"/>
        <w:jc w:val="center"/>
        <w:tblLook w:val="04A0" w:firstRow="1" w:lastRow="0" w:firstColumn="1" w:lastColumn="0" w:noHBand="0" w:noVBand="1"/>
      </w:tblPr>
      <w:tblGrid>
        <w:gridCol w:w="3435"/>
        <w:gridCol w:w="3434"/>
        <w:gridCol w:w="3433"/>
      </w:tblGrid>
      <w:tr w:rsidR="00721834" w14:paraId="510FA452" w14:textId="77777777">
        <w:trPr>
          <w:jc w:val="center"/>
        </w:trPr>
        <w:tc>
          <w:tcPr>
            <w:tcW w:w="3437" w:type="dxa"/>
            <w:shd w:val="clear" w:color="auto" w:fill="F6F8F6"/>
          </w:tcPr>
          <w:p w14:paraId="7ACA0AE0" w14:textId="77777777" w:rsidR="00721834" w:rsidRDefault="00855ADE">
            <w:r>
              <w:rPr>
                <w:b/>
                <w:color w:val="1F4E2F"/>
                <w:sz w:val="18"/>
              </w:rPr>
              <w:t>Glavni operativni poudarek</w:t>
            </w:r>
            <w:r>
              <w:rPr>
                <w:b/>
                <w:color w:val="1F4E2F"/>
                <w:sz w:val="18"/>
              </w:rPr>
              <w:br/>
            </w:r>
            <w:r>
              <w:rPr>
                <w:b/>
                <w:sz w:val="22"/>
              </w:rPr>
              <w:t>POŠ Bukovica</w:t>
            </w:r>
            <w:r>
              <w:rPr>
                <w:b/>
                <w:sz w:val="22"/>
              </w:rPr>
              <w:br/>
            </w:r>
            <w:r>
              <w:rPr>
                <w:sz w:val="16"/>
              </w:rPr>
              <w:t>preveriti senčenje, razsmernike/optimizatorje, stringe in meritve po modulih</w:t>
            </w:r>
          </w:p>
        </w:tc>
        <w:tc>
          <w:tcPr>
            <w:tcW w:w="3437" w:type="dxa"/>
            <w:shd w:val="clear" w:color="auto" w:fill="F6F8F6"/>
          </w:tcPr>
          <w:p w14:paraId="34103095" w14:textId="77777777" w:rsidR="00721834" w:rsidRDefault="00855ADE">
            <w:r>
              <w:rPr>
                <w:b/>
                <w:color w:val="1F4E2F"/>
                <w:sz w:val="18"/>
              </w:rPr>
              <w:t>Upravljavski poudarek</w:t>
            </w:r>
            <w:r>
              <w:rPr>
                <w:b/>
                <w:color w:val="1F4E2F"/>
                <w:sz w:val="18"/>
              </w:rPr>
              <w:br/>
            </w:r>
            <w:r>
              <w:rPr>
                <w:b/>
                <w:sz w:val="22"/>
              </w:rPr>
              <w:t>POŠ Vogrsko</w:t>
            </w:r>
            <w:r>
              <w:rPr>
                <w:b/>
                <w:sz w:val="22"/>
              </w:rPr>
              <w:br/>
            </w:r>
            <w:r>
              <w:rPr>
                <w:sz w:val="16"/>
              </w:rPr>
              <w:t>zmanjšati viške z dodatno koristno rabo energije, predvsem ogrevanje/toplotna črpalka</w:t>
            </w:r>
          </w:p>
        </w:tc>
        <w:tc>
          <w:tcPr>
            <w:tcW w:w="3437" w:type="dxa"/>
            <w:shd w:val="clear" w:color="auto" w:fill="F6F8F6"/>
          </w:tcPr>
          <w:p w14:paraId="6C248BAF" w14:textId="77777777" w:rsidR="00721834" w:rsidRDefault="00855ADE">
            <w:r>
              <w:rPr>
                <w:b/>
                <w:color w:val="1F4E2F"/>
                <w:sz w:val="18"/>
              </w:rPr>
              <w:t>Poročanje</w:t>
            </w:r>
            <w:r>
              <w:rPr>
                <w:b/>
                <w:color w:val="1F4E2F"/>
                <w:sz w:val="18"/>
              </w:rPr>
              <w:br/>
            </w:r>
            <w:r>
              <w:rPr>
                <w:b/>
                <w:sz w:val="22"/>
              </w:rPr>
              <w:t>Vsi objekti</w:t>
            </w:r>
            <w:r>
              <w:rPr>
                <w:b/>
                <w:sz w:val="22"/>
              </w:rPr>
              <w:br/>
            </w:r>
            <w:r>
              <w:rPr>
                <w:sz w:val="16"/>
              </w:rPr>
              <w:t>uvesti letno matriko KPI in pregled obračunskih ključev samooskrbe</w:t>
            </w:r>
          </w:p>
        </w:tc>
      </w:tr>
      <w:tr w:rsidR="00721834" w14:paraId="3AF52ED5" w14:textId="77777777">
        <w:trPr>
          <w:jc w:val="center"/>
        </w:trPr>
        <w:tc>
          <w:tcPr>
            <w:tcW w:w="3437" w:type="dxa"/>
            <w:shd w:val="clear" w:color="auto" w:fill="F6F8F6"/>
          </w:tcPr>
          <w:p w14:paraId="601FBF6B" w14:textId="77777777" w:rsidR="00721834" w:rsidRDefault="00855ADE">
            <w:r>
              <w:rPr>
                <w:b/>
                <w:color w:val="1F4E2F"/>
                <w:sz w:val="18"/>
              </w:rPr>
              <w:t>Tveganje</w:t>
            </w:r>
            <w:r>
              <w:rPr>
                <w:b/>
                <w:color w:val="1F4E2F"/>
                <w:sz w:val="18"/>
              </w:rPr>
              <w:br/>
            </w:r>
            <w:r>
              <w:rPr>
                <w:b/>
                <w:sz w:val="22"/>
              </w:rPr>
              <w:t>Podatkovna vrzel</w:t>
            </w:r>
            <w:r>
              <w:rPr>
                <w:b/>
                <w:sz w:val="22"/>
              </w:rPr>
              <w:br/>
            </w:r>
            <w:r>
              <w:rPr>
                <w:sz w:val="16"/>
              </w:rPr>
              <w:t>za del obdobja niso na voljo vsi podatki o dejanski proizvodnji in porabi po istih časovnih mejah</w:t>
            </w:r>
          </w:p>
        </w:tc>
        <w:tc>
          <w:tcPr>
            <w:tcW w:w="3437" w:type="dxa"/>
            <w:shd w:val="clear" w:color="auto" w:fill="F6F8F6"/>
          </w:tcPr>
          <w:p w14:paraId="3CFF5FB6" w14:textId="77777777" w:rsidR="00721834" w:rsidRDefault="00855ADE">
            <w:r>
              <w:rPr>
                <w:b/>
                <w:color w:val="1F4E2F"/>
                <w:sz w:val="18"/>
              </w:rPr>
              <w:t>Okoljski učinek</w:t>
            </w:r>
            <w:r>
              <w:rPr>
                <w:b/>
                <w:color w:val="1F4E2F"/>
                <w:sz w:val="18"/>
              </w:rPr>
              <w:br/>
            </w:r>
            <w:r>
              <w:rPr>
                <w:b/>
                <w:sz w:val="22"/>
              </w:rPr>
              <w:t>0,386 kg CO2/kWh</w:t>
            </w:r>
            <w:r>
              <w:rPr>
                <w:b/>
                <w:sz w:val="22"/>
              </w:rPr>
              <w:br/>
            </w:r>
            <w:r>
              <w:rPr>
                <w:sz w:val="16"/>
              </w:rPr>
              <w:t>uporabljen je implicitni faktor iz obstoječega poročila: 60 t / 155,3 MWh</w:t>
            </w:r>
          </w:p>
        </w:tc>
        <w:tc>
          <w:tcPr>
            <w:tcW w:w="3437" w:type="dxa"/>
            <w:shd w:val="clear" w:color="auto" w:fill="F6F8F6"/>
          </w:tcPr>
          <w:p w14:paraId="2C079BEA" w14:textId="77777777" w:rsidR="00721834" w:rsidRDefault="00855ADE">
            <w:r>
              <w:rPr>
                <w:b/>
                <w:color w:val="1F4E2F"/>
                <w:sz w:val="18"/>
              </w:rPr>
              <w:t>Zanesljivost izračunov</w:t>
            </w:r>
            <w:r>
              <w:rPr>
                <w:b/>
                <w:color w:val="1F4E2F"/>
                <w:sz w:val="18"/>
              </w:rPr>
              <w:br/>
            </w:r>
            <w:r>
              <w:rPr>
                <w:b/>
                <w:sz w:val="22"/>
              </w:rPr>
              <w:t>srednja-visoka</w:t>
            </w:r>
            <w:r>
              <w:rPr>
                <w:b/>
                <w:sz w:val="22"/>
              </w:rPr>
              <w:br/>
            </w:r>
            <w:r>
              <w:rPr>
                <w:sz w:val="16"/>
              </w:rPr>
              <w:t>aritmetika je preverljiva, tehnični vzroki pa zahtevajo terenski pregled</w:t>
            </w:r>
          </w:p>
        </w:tc>
      </w:tr>
    </w:tbl>
    <w:p w14:paraId="6B127E83" w14:textId="77777777" w:rsidR="00721834" w:rsidRDefault="00855ADE">
      <w:pPr>
        <w:pStyle w:val="Naslov1"/>
      </w:pPr>
      <w:r>
        <w:rPr>
          <w:rFonts w:ascii="Arial" w:hAnsi="Arial"/>
        </w:rPr>
        <w:t>2. Podlage, obseg in metodološke opombe</w:t>
      </w:r>
    </w:p>
    <w:p w14:paraId="3F8C5F53" w14:textId="77777777" w:rsidR="00721834" w:rsidRDefault="00855ADE">
      <w:r>
        <w:t>Poročilo povzema podatke iz aplikacije SolarEdge, podatke iz faktur za električno energijo, podatke iz spletne aplikacije CSRE/GOLEA in obstoječe projektne ocene iz PZI oziroma vloge za nepovratna sredstva. Časovna obdobja v virih niso povsod enaka, zato so nekateri zaključki podani kot ocena in so v dokumentu označeni.</w:t>
      </w:r>
    </w:p>
    <w:tbl>
      <w:tblPr>
        <w:tblStyle w:val="Tabelamrea"/>
        <w:tblW w:w="0" w:type="auto"/>
        <w:jc w:val="center"/>
        <w:tblLook w:val="04A0" w:firstRow="1" w:lastRow="0" w:firstColumn="1" w:lastColumn="0" w:noHBand="0" w:noVBand="1"/>
      </w:tblPr>
      <w:tblGrid>
        <w:gridCol w:w="2576"/>
        <w:gridCol w:w="2575"/>
        <w:gridCol w:w="2575"/>
        <w:gridCol w:w="2576"/>
      </w:tblGrid>
      <w:tr w:rsidR="00721834" w14:paraId="7DA9463F" w14:textId="77777777">
        <w:trPr>
          <w:jc w:val="center"/>
        </w:trPr>
        <w:tc>
          <w:tcPr>
            <w:tcW w:w="2578" w:type="dxa"/>
            <w:shd w:val="clear" w:color="auto" w:fill="1F4E2F"/>
            <w:vAlign w:val="center"/>
          </w:tcPr>
          <w:p w14:paraId="0731D72F" w14:textId="77777777" w:rsidR="00721834" w:rsidRDefault="00855ADE">
            <w:r>
              <w:rPr>
                <w:b/>
                <w:color w:val="FFFFFF"/>
                <w:sz w:val="18"/>
              </w:rPr>
              <w:t>Vir podatkov</w:t>
            </w:r>
          </w:p>
        </w:tc>
        <w:tc>
          <w:tcPr>
            <w:tcW w:w="2578" w:type="dxa"/>
            <w:shd w:val="clear" w:color="auto" w:fill="1F4E2F"/>
            <w:vAlign w:val="center"/>
          </w:tcPr>
          <w:p w14:paraId="1E18EC5C" w14:textId="77777777" w:rsidR="00721834" w:rsidRDefault="00855ADE">
            <w:r>
              <w:rPr>
                <w:b/>
                <w:color w:val="FFFFFF"/>
                <w:sz w:val="18"/>
              </w:rPr>
              <w:t>Vsebina</w:t>
            </w:r>
          </w:p>
        </w:tc>
        <w:tc>
          <w:tcPr>
            <w:tcW w:w="2578" w:type="dxa"/>
            <w:shd w:val="clear" w:color="auto" w:fill="1F4E2F"/>
            <w:vAlign w:val="center"/>
          </w:tcPr>
          <w:p w14:paraId="3D30476F" w14:textId="77777777" w:rsidR="00721834" w:rsidRDefault="00855ADE">
            <w:r>
              <w:rPr>
                <w:b/>
                <w:color w:val="FFFFFF"/>
                <w:sz w:val="18"/>
              </w:rPr>
              <w:t>Uporaba v poročilu</w:t>
            </w:r>
          </w:p>
        </w:tc>
        <w:tc>
          <w:tcPr>
            <w:tcW w:w="2578" w:type="dxa"/>
            <w:shd w:val="clear" w:color="auto" w:fill="1F4E2F"/>
            <w:vAlign w:val="center"/>
          </w:tcPr>
          <w:p w14:paraId="00314824" w14:textId="77777777" w:rsidR="00721834" w:rsidRDefault="00855ADE">
            <w:r>
              <w:rPr>
                <w:b/>
                <w:color w:val="FFFFFF"/>
                <w:sz w:val="18"/>
              </w:rPr>
              <w:t>Zanesljivost</w:t>
            </w:r>
          </w:p>
        </w:tc>
      </w:tr>
      <w:tr w:rsidR="00721834" w14:paraId="64910449" w14:textId="77777777">
        <w:trPr>
          <w:jc w:val="center"/>
        </w:trPr>
        <w:tc>
          <w:tcPr>
            <w:tcW w:w="2578" w:type="dxa"/>
            <w:vAlign w:val="center"/>
          </w:tcPr>
          <w:p w14:paraId="61F8CF6E" w14:textId="77777777" w:rsidR="00721834" w:rsidRDefault="00855ADE">
            <w:r>
              <w:rPr>
                <w:sz w:val="16"/>
              </w:rPr>
              <w:t>SolarEdge</w:t>
            </w:r>
          </w:p>
        </w:tc>
        <w:tc>
          <w:tcPr>
            <w:tcW w:w="2578" w:type="dxa"/>
            <w:vAlign w:val="center"/>
          </w:tcPr>
          <w:p w14:paraId="213A9072" w14:textId="77777777" w:rsidR="00721834" w:rsidRDefault="00855ADE">
            <w:r>
              <w:rPr>
                <w:sz w:val="16"/>
              </w:rPr>
              <w:t>proizvodnja SE po objektih</w:t>
            </w:r>
          </w:p>
        </w:tc>
        <w:tc>
          <w:tcPr>
            <w:tcW w:w="2578" w:type="dxa"/>
            <w:vAlign w:val="center"/>
          </w:tcPr>
          <w:p w14:paraId="5EC424F4" w14:textId="77777777" w:rsidR="00721834" w:rsidRDefault="00855ADE">
            <w:r>
              <w:rPr>
                <w:sz w:val="16"/>
              </w:rPr>
              <w:t>osnovna proizvodnja, specifični donos</w:t>
            </w:r>
          </w:p>
        </w:tc>
        <w:tc>
          <w:tcPr>
            <w:tcW w:w="2578" w:type="dxa"/>
            <w:vAlign w:val="center"/>
          </w:tcPr>
          <w:p w14:paraId="25CA7FAE" w14:textId="77777777" w:rsidR="00721834" w:rsidRDefault="00855ADE">
            <w:r>
              <w:rPr>
                <w:sz w:val="16"/>
              </w:rPr>
              <w:t>visoka za proizvodnjo, če so naprave pravilno povezane</w:t>
            </w:r>
          </w:p>
        </w:tc>
      </w:tr>
      <w:tr w:rsidR="00721834" w14:paraId="4E9334AC" w14:textId="77777777">
        <w:trPr>
          <w:jc w:val="center"/>
        </w:trPr>
        <w:tc>
          <w:tcPr>
            <w:tcW w:w="2578" w:type="dxa"/>
            <w:vAlign w:val="center"/>
          </w:tcPr>
          <w:p w14:paraId="2A5E48B3" w14:textId="77777777" w:rsidR="00721834" w:rsidRDefault="00855ADE">
            <w:r>
              <w:rPr>
                <w:sz w:val="16"/>
              </w:rPr>
              <w:t>Fakture</w:t>
            </w:r>
          </w:p>
        </w:tc>
        <w:tc>
          <w:tcPr>
            <w:tcW w:w="2578" w:type="dxa"/>
            <w:vAlign w:val="center"/>
          </w:tcPr>
          <w:p w14:paraId="7E17CF3E" w14:textId="77777777" w:rsidR="00721834" w:rsidRDefault="00855ADE">
            <w:r>
              <w:rPr>
                <w:sz w:val="16"/>
              </w:rPr>
              <w:t>prevzem iz omrežja in oddaja v omrežje</w:t>
            </w:r>
          </w:p>
        </w:tc>
        <w:tc>
          <w:tcPr>
            <w:tcW w:w="2578" w:type="dxa"/>
            <w:vAlign w:val="center"/>
          </w:tcPr>
          <w:p w14:paraId="72768404" w14:textId="77777777" w:rsidR="00721834" w:rsidRDefault="00855ADE">
            <w:r>
              <w:rPr>
                <w:sz w:val="16"/>
              </w:rPr>
              <w:t>ocena lastne rabe in viškov</w:t>
            </w:r>
          </w:p>
        </w:tc>
        <w:tc>
          <w:tcPr>
            <w:tcW w:w="2578" w:type="dxa"/>
            <w:vAlign w:val="center"/>
          </w:tcPr>
          <w:p w14:paraId="47B38F74" w14:textId="77777777" w:rsidR="00721834" w:rsidRDefault="00855ADE">
            <w:r>
              <w:rPr>
                <w:sz w:val="16"/>
              </w:rPr>
              <w:t>srednja-visoka; časovne meje niso vedno enake</w:t>
            </w:r>
          </w:p>
        </w:tc>
      </w:tr>
      <w:tr w:rsidR="00721834" w14:paraId="5C3C8B6F" w14:textId="77777777">
        <w:trPr>
          <w:jc w:val="center"/>
        </w:trPr>
        <w:tc>
          <w:tcPr>
            <w:tcW w:w="2578" w:type="dxa"/>
            <w:vAlign w:val="center"/>
          </w:tcPr>
          <w:p w14:paraId="00589B08" w14:textId="77777777" w:rsidR="00721834" w:rsidRDefault="00855ADE">
            <w:r>
              <w:rPr>
                <w:sz w:val="16"/>
              </w:rPr>
              <w:t>PZI / vloga NOO</w:t>
            </w:r>
          </w:p>
        </w:tc>
        <w:tc>
          <w:tcPr>
            <w:tcW w:w="2578" w:type="dxa"/>
            <w:vAlign w:val="center"/>
          </w:tcPr>
          <w:p w14:paraId="62402EA3" w14:textId="77777777" w:rsidR="00721834" w:rsidRDefault="00855ADE">
            <w:r>
              <w:rPr>
                <w:sz w:val="16"/>
              </w:rPr>
              <w:t>projektirane letne vrednosti</w:t>
            </w:r>
          </w:p>
        </w:tc>
        <w:tc>
          <w:tcPr>
            <w:tcW w:w="2578" w:type="dxa"/>
            <w:vAlign w:val="center"/>
          </w:tcPr>
          <w:p w14:paraId="534A0DEA" w14:textId="77777777" w:rsidR="00721834" w:rsidRDefault="00855ADE">
            <w:r>
              <w:rPr>
                <w:sz w:val="16"/>
              </w:rPr>
              <w:t>kontrolna primerjava, ne osrednji poudarek</w:t>
            </w:r>
          </w:p>
        </w:tc>
        <w:tc>
          <w:tcPr>
            <w:tcW w:w="2578" w:type="dxa"/>
            <w:vAlign w:val="center"/>
          </w:tcPr>
          <w:p w14:paraId="5B04A50B" w14:textId="77777777" w:rsidR="00721834" w:rsidRDefault="00855ADE">
            <w:r>
              <w:rPr>
                <w:sz w:val="16"/>
              </w:rPr>
              <w:t>srednja; odvisno od vhodnih predpostavk</w:t>
            </w:r>
          </w:p>
        </w:tc>
      </w:tr>
      <w:tr w:rsidR="00721834" w14:paraId="11705B10" w14:textId="77777777">
        <w:trPr>
          <w:jc w:val="center"/>
        </w:trPr>
        <w:tc>
          <w:tcPr>
            <w:tcW w:w="2578" w:type="dxa"/>
            <w:vAlign w:val="center"/>
          </w:tcPr>
          <w:p w14:paraId="19BE0582" w14:textId="77777777" w:rsidR="00721834" w:rsidRDefault="00855ADE">
            <w:r>
              <w:rPr>
                <w:sz w:val="16"/>
              </w:rPr>
              <w:t>CSRE / GOLEA</w:t>
            </w:r>
          </w:p>
        </w:tc>
        <w:tc>
          <w:tcPr>
            <w:tcW w:w="2578" w:type="dxa"/>
            <w:vAlign w:val="center"/>
          </w:tcPr>
          <w:p w14:paraId="29E5FA16" w14:textId="77777777" w:rsidR="00721834" w:rsidRDefault="00855ADE">
            <w:r>
              <w:rPr>
                <w:sz w:val="16"/>
              </w:rPr>
              <w:t>porabe iz preteklih let</w:t>
            </w:r>
          </w:p>
        </w:tc>
        <w:tc>
          <w:tcPr>
            <w:tcW w:w="2578" w:type="dxa"/>
            <w:vAlign w:val="center"/>
          </w:tcPr>
          <w:p w14:paraId="76B7D7C2" w14:textId="77777777" w:rsidR="00721834" w:rsidRDefault="00855ADE">
            <w:r>
              <w:rPr>
                <w:sz w:val="16"/>
              </w:rPr>
              <w:t>preveritev realnosti porabe</w:t>
            </w:r>
          </w:p>
        </w:tc>
        <w:tc>
          <w:tcPr>
            <w:tcW w:w="2578" w:type="dxa"/>
            <w:vAlign w:val="center"/>
          </w:tcPr>
          <w:p w14:paraId="05DD2F68" w14:textId="77777777" w:rsidR="00721834" w:rsidRDefault="00855ADE">
            <w:r>
              <w:rPr>
                <w:sz w:val="16"/>
              </w:rPr>
              <w:t>srednja; potrebna letna uskladitev</w:t>
            </w:r>
          </w:p>
        </w:tc>
      </w:tr>
    </w:tbl>
    <w:p w14:paraId="1E6223B8" w14:textId="77777777" w:rsidR="00721834" w:rsidRDefault="00855ADE">
      <w:r>
        <w:br w:type="page"/>
      </w:r>
    </w:p>
    <w:p w14:paraId="36011872" w14:textId="77777777" w:rsidR="00721834" w:rsidRDefault="00855ADE">
      <w:pPr>
        <w:pStyle w:val="Naslov1"/>
      </w:pPr>
      <w:r>
        <w:rPr>
          <w:rFonts w:ascii="Arial" w:hAnsi="Arial"/>
        </w:rPr>
        <w:lastRenderedPageBreak/>
        <w:t>3. Dejansko obratovanje po objektih</w:t>
      </w:r>
    </w:p>
    <w:p w14:paraId="631395A5" w14:textId="77777777" w:rsidR="00721834" w:rsidRDefault="00855ADE">
      <w:r>
        <w:t>V spodnji tabeli je prikazana osnovna slika delovanja. Kazalnik kWh/kWp omogoča primerjavo med elektrarnami različnih velikosti in je zato primernejši za operativno presojo kot samo skupna proizvodnja.</w:t>
      </w:r>
    </w:p>
    <w:tbl>
      <w:tblPr>
        <w:tblStyle w:val="Tabelamrea"/>
        <w:tblW w:w="0" w:type="auto"/>
        <w:jc w:val="center"/>
        <w:tblLook w:val="04A0" w:firstRow="1" w:lastRow="0" w:firstColumn="1" w:lastColumn="0" w:noHBand="0" w:noVBand="1"/>
      </w:tblPr>
      <w:tblGrid>
        <w:gridCol w:w="1472"/>
        <w:gridCol w:w="1471"/>
        <w:gridCol w:w="1472"/>
        <w:gridCol w:w="1472"/>
        <w:gridCol w:w="1472"/>
        <w:gridCol w:w="1471"/>
        <w:gridCol w:w="1472"/>
      </w:tblGrid>
      <w:tr w:rsidR="00721834" w14:paraId="6ECCFA19" w14:textId="77777777">
        <w:trPr>
          <w:jc w:val="center"/>
        </w:trPr>
        <w:tc>
          <w:tcPr>
            <w:tcW w:w="1473" w:type="dxa"/>
            <w:shd w:val="clear" w:color="auto" w:fill="1F4E2F"/>
            <w:vAlign w:val="center"/>
          </w:tcPr>
          <w:p w14:paraId="0160B8AE" w14:textId="77777777" w:rsidR="00721834" w:rsidRDefault="00855ADE">
            <w:r>
              <w:rPr>
                <w:b/>
                <w:color w:val="FFFFFF"/>
                <w:sz w:val="16"/>
              </w:rPr>
              <w:t>Objekt</w:t>
            </w:r>
          </w:p>
        </w:tc>
        <w:tc>
          <w:tcPr>
            <w:tcW w:w="1473" w:type="dxa"/>
            <w:shd w:val="clear" w:color="auto" w:fill="1F4E2F"/>
            <w:vAlign w:val="center"/>
          </w:tcPr>
          <w:p w14:paraId="7699A79A" w14:textId="77777777" w:rsidR="00721834" w:rsidRDefault="00855ADE">
            <w:r>
              <w:rPr>
                <w:b/>
                <w:color w:val="FFFFFF"/>
                <w:sz w:val="16"/>
              </w:rPr>
              <w:t>Moč (kWp)</w:t>
            </w:r>
          </w:p>
        </w:tc>
        <w:tc>
          <w:tcPr>
            <w:tcW w:w="1473" w:type="dxa"/>
            <w:shd w:val="clear" w:color="auto" w:fill="1F4E2F"/>
            <w:vAlign w:val="center"/>
          </w:tcPr>
          <w:p w14:paraId="7FBFA838" w14:textId="77777777" w:rsidR="00721834" w:rsidRDefault="00855ADE">
            <w:r>
              <w:rPr>
                <w:b/>
                <w:color w:val="FFFFFF"/>
                <w:sz w:val="16"/>
              </w:rPr>
              <w:t>Proizvodnja (MWh)</w:t>
            </w:r>
          </w:p>
        </w:tc>
        <w:tc>
          <w:tcPr>
            <w:tcW w:w="1473" w:type="dxa"/>
            <w:shd w:val="clear" w:color="auto" w:fill="1F4E2F"/>
            <w:vAlign w:val="center"/>
          </w:tcPr>
          <w:p w14:paraId="76A559A9" w14:textId="77777777" w:rsidR="00721834" w:rsidRDefault="00855ADE">
            <w:r>
              <w:rPr>
                <w:b/>
                <w:color w:val="FFFFFF"/>
                <w:sz w:val="16"/>
              </w:rPr>
              <w:t>Delež proizvodnje</w:t>
            </w:r>
          </w:p>
        </w:tc>
        <w:tc>
          <w:tcPr>
            <w:tcW w:w="1473" w:type="dxa"/>
            <w:shd w:val="clear" w:color="auto" w:fill="1F4E2F"/>
            <w:vAlign w:val="center"/>
          </w:tcPr>
          <w:p w14:paraId="406DA932" w14:textId="77777777" w:rsidR="00721834" w:rsidRDefault="00855ADE">
            <w:r>
              <w:rPr>
                <w:b/>
                <w:color w:val="FFFFFF"/>
                <w:sz w:val="16"/>
              </w:rPr>
              <w:t>Specifični donos (kWh/kWp)</w:t>
            </w:r>
          </w:p>
        </w:tc>
        <w:tc>
          <w:tcPr>
            <w:tcW w:w="1473" w:type="dxa"/>
            <w:shd w:val="clear" w:color="auto" w:fill="1F4E2F"/>
            <w:vAlign w:val="center"/>
          </w:tcPr>
          <w:p w14:paraId="4A00C64B" w14:textId="77777777" w:rsidR="00721834" w:rsidRDefault="00855ADE">
            <w:r>
              <w:rPr>
                <w:b/>
                <w:color w:val="FFFFFF"/>
                <w:sz w:val="16"/>
              </w:rPr>
              <w:t>CO2 ekv. (t)</w:t>
            </w:r>
          </w:p>
        </w:tc>
        <w:tc>
          <w:tcPr>
            <w:tcW w:w="1473" w:type="dxa"/>
            <w:shd w:val="clear" w:color="auto" w:fill="1F4E2F"/>
            <w:vAlign w:val="center"/>
          </w:tcPr>
          <w:p w14:paraId="1AC41100" w14:textId="77777777" w:rsidR="00721834" w:rsidRDefault="00855ADE">
            <w:r>
              <w:rPr>
                <w:b/>
                <w:color w:val="FFFFFF"/>
                <w:sz w:val="16"/>
              </w:rPr>
              <w:t>Komentar</w:t>
            </w:r>
          </w:p>
        </w:tc>
      </w:tr>
      <w:tr w:rsidR="00721834" w14:paraId="56CFE002" w14:textId="77777777">
        <w:trPr>
          <w:jc w:val="center"/>
        </w:trPr>
        <w:tc>
          <w:tcPr>
            <w:tcW w:w="1473" w:type="dxa"/>
            <w:vAlign w:val="center"/>
          </w:tcPr>
          <w:p w14:paraId="48A38DC3" w14:textId="77777777" w:rsidR="00721834" w:rsidRDefault="00855ADE">
            <w:r>
              <w:rPr>
                <w:sz w:val="16"/>
              </w:rPr>
              <w:t>POŠ Vogrsko</w:t>
            </w:r>
          </w:p>
        </w:tc>
        <w:tc>
          <w:tcPr>
            <w:tcW w:w="1473" w:type="dxa"/>
            <w:vAlign w:val="center"/>
          </w:tcPr>
          <w:p w14:paraId="45825545" w14:textId="77777777" w:rsidR="00721834" w:rsidRDefault="00855ADE">
            <w:r>
              <w:rPr>
                <w:sz w:val="16"/>
              </w:rPr>
              <w:t>32,4</w:t>
            </w:r>
          </w:p>
        </w:tc>
        <w:tc>
          <w:tcPr>
            <w:tcW w:w="1473" w:type="dxa"/>
            <w:vAlign w:val="center"/>
          </w:tcPr>
          <w:p w14:paraId="340E1355" w14:textId="77777777" w:rsidR="00721834" w:rsidRDefault="00855ADE">
            <w:r>
              <w:rPr>
                <w:sz w:val="16"/>
              </w:rPr>
              <w:t>35,7</w:t>
            </w:r>
          </w:p>
        </w:tc>
        <w:tc>
          <w:tcPr>
            <w:tcW w:w="1473" w:type="dxa"/>
            <w:vAlign w:val="center"/>
          </w:tcPr>
          <w:p w14:paraId="1B086080" w14:textId="77777777" w:rsidR="00721834" w:rsidRDefault="00855ADE">
            <w:r>
              <w:rPr>
                <w:sz w:val="16"/>
              </w:rPr>
              <w:t>23,0 %</w:t>
            </w:r>
          </w:p>
        </w:tc>
        <w:tc>
          <w:tcPr>
            <w:tcW w:w="1473" w:type="dxa"/>
            <w:vAlign w:val="center"/>
          </w:tcPr>
          <w:p w14:paraId="2B6ABFF4" w14:textId="77777777" w:rsidR="00721834" w:rsidRDefault="00855ADE">
            <w:r>
              <w:rPr>
                <w:sz w:val="16"/>
              </w:rPr>
              <w:t>1.102</w:t>
            </w:r>
          </w:p>
        </w:tc>
        <w:tc>
          <w:tcPr>
            <w:tcW w:w="1473" w:type="dxa"/>
            <w:vAlign w:val="center"/>
          </w:tcPr>
          <w:p w14:paraId="3952C8FC" w14:textId="77777777" w:rsidR="00721834" w:rsidRDefault="00855ADE">
            <w:r>
              <w:rPr>
                <w:sz w:val="16"/>
              </w:rPr>
              <w:t>14</w:t>
            </w:r>
          </w:p>
        </w:tc>
        <w:tc>
          <w:tcPr>
            <w:tcW w:w="1473" w:type="dxa"/>
            <w:vAlign w:val="center"/>
          </w:tcPr>
          <w:p w14:paraId="37F5411E" w14:textId="77777777" w:rsidR="00721834" w:rsidRDefault="00855ADE">
            <w:r>
              <w:rPr>
                <w:sz w:val="16"/>
              </w:rPr>
              <w:t>stabilno obratovanje; glavno vprašanje je poraba viškov</w:t>
            </w:r>
          </w:p>
        </w:tc>
      </w:tr>
      <w:tr w:rsidR="00721834" w14:paraId="6D5123B6" w14:textId="77777777">
        <w:trPr>
          <w:jc w:val="center"/>
        </w:trPr>
        <w:tc>
          <w:tcPr>
            <w:tcW w:w="1473" w:type="dxa"/>
            <w:vAlign w:val="center"/>
          </w:tcPr>
          <w:p w14:paraId="7FD18AD5" w14:textId="77777777" w:rsidR="00721834" w:rsidRDefault="00855ADE">
            <w:r>
              <w:rPr>
                <w:sz w:val="16"/>
              </w:rPr>
              <w:t>POŠ Bukovica</w:t>
            </w:r>
          </w:p>
        </w:tc>
        <w:tc>
          <w:tcPr>
            <w:tcW w:w="1473" w:type="dxa"/>
            <w:vAlign w:val="center"/>
          </w:tcPr>
          <w:p w14:paraId="24C812FA" w14:textId="77777777" w:rsidR="00721834" w:rsidRDefault="00855ADE">
            <w:r>
              <w:rPr>
                <w:sz w:val="16"/>
              </w:rPr>
              <w:t>54,0</w:t>
            </w:r>
          </w:p>
        </w:tc>
        <w:tc>
          <w:tcPr>
            <w:tcW w:w="1473" w:type="dxa"/>
            <w:vAlign w:val="center"/>
          </w:tcPr>
          <w:p w14:paraId="2A8CD591" w14:textId="77777777" w:rsidR="00721834" w:rsidRDefault="00855ADE">
            <w:r>
              <w:rPr>
                <w:sz w:val="16"/>
              </w:rPr>
              <w:t>37,3</w:t>
            </w:r>
          </w:p>
        </w:tc>
        <w:tc>
          <w:tcPr>
            <w:tcW w:w="1473" w:type="dxa"/>
            <w:vAlign w:val="center"/>
          </w:tcPr>
          <w:p w14:paraId="77E9DFDC" w14:textId="77777777" w:rsidR="00721834" w:rsidRDefault="00855ADE">
            <w:r>
              <w:rPr>
                <w:sz w:val="16"/>
              </w:rPr>
              <w:t>24,0 %</w:t>
            </w:r>
          </w:p>
        </w:tc>
        <w:tc>
          <w:tcPr>
            <w:tcW w:w="1473" w:type="dxa"/>
            <w:vAlign w:val="center"/>
          </w:tcPr>
          <w:p w14:paraId="623DE000" w14:textId="77777777" w:rsidR="00721834" w:rsidRDefault="00855ADE">
            <w:r>
              <w:rPr>
                <w:sz w:val="16"/>
              </w:rPr>
              <w:t>691</w:t>
            </w:r>
          </w:p>
        </w:tc>
        <w:tc>
          <w:tcPr>
            <w:tcW w:w="1473" w:type="dxa"/>
            <w:vAlign w:val="center"/>
          </w:tcPr>
          <w:p w14:paraId="7AC73B2F" w14:textId="77777777" w:rsidR="00721834" w:rsidRDefault="00855ADE">
            <w:r>
              <w:rPr>
                <w:sz w:val="16"/>
              </w:rPr>
              <w:t>14</w:t>
            </w:r>
          </w:p>
        </w:tc>
        <w:tc>
          <w:tcPr>
            <w:tcW w:w="1473" w:type="dxa"/>
            <w:vAlign w:val="center"/>
          </w:tcPr>
          <w:p w14:paraId="48367C73" w14:textId="2E5FFBA0" w:rsidR="00721834" w:rsidRDefault="00C5539B">
            <w:proofErr w:type="spellStart"/>
            <w:r>
              <w:rPr>
                <w:sz w:val="16"/>
              </w:rPr>
              <w:t>Potrebni</w:t>
            </w:r>
            <w:proofErr w:type="spellEnd"/>
            <w:r>
              <w:rPr>
                <w:sz w:val="16"/>
              </w:rPr>
              <w:t xml:space="preserve"> </w:t>
            </w:r>
            <w:proofErr w:type="spellStart"/>
            <w:r>
              <w:rPr>
                <w:sz w:val="16"/>
              </w:rPr>
              <w:t>občasni</w:t>
            </w:r>
            <w:proofErr w:type="spellEnd"/>
            <w:r>
              <w:rPr>
                <w:sz w:val="16"/>
              </w:rPr>
              <w:t xml:space="preserve"> </w:t>
            </w:r>
            <w:proofErr w:type="spellStart"/>
            <w:r>
              <w:rPr>
                <w:sz w:val="16"/>
              </w:rPr>
              <w:t>pregledi</w:t>
            </w:r>
            <w:proofErr w:type="spellEnd"/>
          </w:p>
        </w:tc>
      </w:tr>
      <w:tr w:rsidR="00721834" w14:paraId="14AEDB71" w14:textId="77777777">
        <w:trPr>
          <w:jc w:val="center"/>
        </w:trPr>
        <w:tc>
          <w:tcPr>
            <w:tcW w:w="1473" w:type="dxa"/>
            <w:vAlign w:val="center"/>
          </w:tcPr>
          <w:p w14:paraId="5CD3F873" w14:textId="77777777" w:rsidR="00721834" w:rsidRDefault="00855ADE">
            <w:r>
              <w:rPr>
                <w:sz w:val="16"/>
              </w:rPr>
              <w:t>OŠ Renče</w:t>
            </w:r>
          </w:p>
        </w:tc>
        <w:tc>
          <w:tcPr>
            <w:tcW w:w="1473" w:type="dxa"/>
            <w:vAlign w:val="center"/>
          </w:tcPr>
          <w:p w14:paraId="4AEF2D04" w14:textId="77777777" w:rsidR="00721834" w:rsidRDefault="00855ADE">
            <w:r>
              <w:rPr>
                <w:sz w:val="16"/>
              </w:rPr>
              <w:t>79,2</w:t>
            </w:r>
          </w:p>
        </w:tc>
        <w:tc>
          <w:tcPr>
            <w:tcW w:w="1473" w:type="dxa"/>
            <w:vAlign w:val="center"/>
          </w:tcPr>
          <w:p w14:paraId="549ED91B" w14:textId="77777777" w:rsidR="00721834" w:rsidRDefault="00855ADE">
            <w:r>
              <w:rPr>
                <w:sz w:val="16"/>
              </w:rPr>
              <w:t>82,3</w:t>
            </w:r>
          </w:p>
        </w:tc>
        <w:tc>
          <w:tcPr>
            <w:tcW w:w="1473" w:type="dxa"/>
            <w:vAlign w:val="center"/>
          </w:tcPr>
          <w:p w14:paraId="6CFBB4CD" w14:textId="77777777" w:rsidR="00721834" w:rsidRDefault="00855ADE">
            <w:r>
              <w:rPr>
                <w:sz w:val="16"/>
              </w:rPr>
              <w:t>53,0 %</w:t>
            </w:r>
          </w:p>
        </w:tc>
        <w:tc>
          <w:tcPr>
            <w:tcW w:w="1473" w:type="dxa"/>
            <w:vAlign w:val="center"/>
          </w:tcPr>
          <w:p w14:paraId="0F540E11" w14:textId="77777777" w:rsidR="00721834" w:rsidRDefault="00855ADE">
            <w:r>
              <w:rPr>
                <w:sz w:val="16"/>
              </w:rPr>
              <w:t>1.039</w:t>
            </w:r>
          </w:p>
        </w:tc>
        <w:tc>
          <w:tcPr>
            <w:tcW w:w="1473" w:type="dxa"/>
            <w:vAlign w:val="center"/>
          </w:tcPr>
          <w:p w14:paraId="26AC63BD" w14:textId="77777777" w:rsidR="00721834" w:rsidRDefault="00855ADE">
            <w:r>
              <w:rPr>
                <w:sz w:val="16"/>
              </w:rPr>
              <w:t>32</w:t>
            </w:r>
          </w:p>
        </w:tc>
        <w:tc>
          <w:tcPr>
            <w:tcW w:w="1473" w:type="dxa"/>
            <w:vAlign w:val="center"/>
          </w:tcPr>
          <w:p w14:paraId="3E7B2107" w14:textId="77777777" w:rsidR="00721834" w:rsidRDefault="00855ADE">
            <w:r>
              <w:rPr>
                <w:sz w:val="16"/>
              </w:rPr>
              <w:t>največja proizvodnja; skupnost zmanjšuje tveganje viškov</w:t>
            </w:r>
          </w:p>
        </w:tc>
      </w:tr>
    </w:tbl>
    <w:p w14:paraId="17FA9669" w14:textId="77777777" w:rsidR="00721834" w:rsidRDefault="00855ADE">
      <w:r>
        <w:rPr>
          <w:noProof/>
        </w:rPr>
        <w:drawing>
          <wp:inline distT="0" distB="0" distL="0" distR="0" wp14:anchorId="2EA8D4BA" wp14:editId="1DF5BC23">
            <wp:extent cx="5760000" cy="32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png"/>
                    <pic:cNvPicPr/>
                  </pic:nvPicPr>
                  <pic:blipFill>
                    <a:blip r:embed="rId9"/>
                    <a:stretch>
                      <a:fillRect/>
                    </a:stretch>
                  </pic:blipFill>
                  <pic:spPr>
                    <a:xfrm>
                      <a:off x="0" y="0"/>
                      <a:ext cx="5760000" cy="3200000"/>
                    </a:xfrm>
                    <a:prstGeom prst="rect">
                      <a:avLst/>
                    </a:prstGeom>
                  </pic:spPr>
                </pic:pic>
              </a:graphicData>
            </a:graphic>
          </wp:inline>
        </w:drawing>
      </w:r>
    </w:p>
    <w:p w14:paraId="03690706" w14:textId="77777777" w:rsidR="00721834" w:rsidRDefault="00855ADE">
      <w:pPr>
        <w:jc w:val="center"/>
      </w:pPr>
      <w:r>
        <w:rPr>
          <w:i/>
          <w:sz w:val="16"/>
        </w:rPr>
        <w:t>Slika 1: Proizvodnja po objektih v obravnavanem obdobju.</w:t>
      </w:r>
    </w:p>
    <w:p w14:paraId="6F3F3297" w14:textId="77777777" w:rsidR="00721834" w:rsidRDefault="00855ADE">
      <w:r>
        <w:rPr>
          <w:noProof/>
        </w:rPr>
        <w:lastRenderedPageBreak/>
        <w:drawing>
          <wp:inline distT="0" distB="0" distL="0" distR="0" wp14:anchorId="773F5903" wp14:editId="5446C12C">
            <wp:extent cx="5760000" cy="320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fic.png"/>
                    <pic:cNvPicPr/>
                  </pic:nvPicPr>
                  <pic:blipFill>
                    <a:blip r:embed="rId10"/>
                    <a:stretch>
                      <a:fillRect/>
                    </a:stretch>
                  </pic:blipFill>
                  <pic:spPr>
                    <a:xfrm>
                      <a:off x="0" y="0"/>
                      <a:ext cx="5760000" cy="3200000"/>
                    </a:xfrm>
                    <a:prstGeom prst="rect">
                      <a:avLst/>
                    </a:prstGeom>
                  </pic:spPr>
                </pic:pic>
              </a:graphicData>
            </a:graphic>
          </wp:inline>
        </w:drawing>
      </w:r>
    </w:p>
    <w:p w14:paraId="6684BAA5" w14:textId="77777777" w:rsidR="00721834" w:rsidRDefault="00855ADE">
      <w:pPr>
        <w:jc w:val="center"/>
      </w:pPr>
      <w:r>
        <w:rPr>
          <w:i/>
          <w:sz w:val="16"/>
        </w:rPr>
        <w:t>Slika 2: Specifični donos po objektih, izračunan kot kWh/kWp.</w:t>
      </w:r>
    </w:p>
    <w:p w14:paraId="0CF94C72" w14:textId="77777777" w:rsidR="00721834" w:rsidRDefault="00855ADE">
      <w:pPr>
        <w:pStyle w:val="Naslov1"/>
      </w:pPr>
      <w:r>
        <w:rPr>
          <w:rFonts w:ascii="Arial" w:hAnsi="Arial"/>
        </w:rPr>
        <w:t>4. Analiza po posameznih sončnih elektrarnah</w:t>
      </w:r>
    </w:p>
    <w:p w14:paraId="52F67898" w14:textId="77777777" w:rsidR="00721834" w:rsidRDefault="00855ADE">
      <w:pPr>
        <w:pStyle w:val="Naslov2"/>
      </w:pPr>
      <w:r>
        <w:rPr>
          <w:rFonts w:ascii="Arial" w:hAnsi="Arial"/>
        </w:rPr>
        <w:t>4.1 SE POŠ Vogrsko</w:t>
      </w:r>
    </w:p>
    <w:p w14:paraId="547D4E7D" w14:textId="77777777" w:rsidR="00721834" w:rsidRDefault="00855ADE">
      <w:r>
        <w:t>Elektrarna POŠ Vogrsko ima inštalirano moč 32,4 kWp in je v skoraj enoletnem obdobju proizvedla 35,7 MWh. Specifični donos znaša 1.102 kWh/kWp, kar je med tremi objekti najvišja vrednost. Pri tem objektu zato glavno vprašanje ni tehnična učinkovitost elektrarne, ampak uporaba proizvedene energije na lokaciji.</w:t>
      </w:r>
    </w:p>
    <w:p w14:paraId="6638E122" w14:textId="77777777" w:rsidR="00721834" w:rsidRDefault="00855ADE">
      <w:r>
        <w:t>Na podlagi razpoložljivih podatkov je bila letna poraba objekta ocenjena na 22,9 MWh, ocenjena letna proizvodnja pa na približno 38,8 MWh. To pomeni ocenjene viške okoli 15,9 MWh/leto oziroma približno 41,0 % letne proizvodnje. V praksi je zato smiselno preveriti povečanje lastne rabe: vgradnja toplotne črpalke, časovno prilagojeno delovanje večjih porabnikov, priprava sanitarne vode oziroma druga fleksibilna raba v času dnevne proizvodnje.</w:t>
      </w:r>
    </w:p>
    <w:p w14:paraId="2F21B962" w14:textId="77777777" w:rsidR="00721834" w:rsidRDefault="00855ADE">
      <w:r>
        <w:rPr>
          <w:noProof/>
        </w:rPr>
        <w:lastRenderedPageBreak/>
        <w:drawing>
          <wp:inline distT="0" distB="0" distL="0" distR="0" wp14:anchorId="396DA334" wp14:editId="3E1AE326">
            <wp:extent cx="5580000" cy="294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grsko_surplus.png"/>
                    <pic:cNvPicPr/>
                  </pic:nvPicPr>
                  <pic:blipFill>
                    <a:blip r:embed="rId11"/>
                    <a:stretch>
                      <a:fillRect/>
                    </a:stretch>
                  </pic:blipFill>
                  <pic:spPr>
                    <a:xfrm>
                      <a:off x="0" y="0"/>
                      <a:ext cx="5580000" cy="2945000"/>
                    </a:xfrm>
                    <a:prstGeom prst="rect">
                      <a:avLst/>
                    </a:prstGeom>
                  </pic:spPr>
                </pic:pic>
              </a:graphicData>
            </a:graphic>
          </wp:inline>
        </w:drawing>
      </w:r>
    </w:p>
    <w:p w14:paraId="3BD1AAE3" w14:textId="77777777" w:rsidR="00721834" w:rsidRDefault="00855ADE">
      <w:pPr>
        <w:jc w:val="center"/>
      </w:pPr>
      <w:r>
        <w:rPr>
          <w:i/>
          <w:sz w:val="16"/>
        </w:rPr>
        <w:t>Slika 3: Ocenjena delitev letne proizvodnje na POŠ Vogrsko.</w:t>
      </w:r>
    </w:p>
    <w:tbl>
      <w:tblPr>
        <w:tblStyle w:val="Tabelamrea"/>
        <w:tblW w:w="0" w:type="auto"/>
        <w:tblLook w:val="04A0" w:firstRow="1" w:lastRow="0" w:firstColumn="1" w:lastColumn="0" w:noHBand="0" w:noVBand="1"/>
      </w:tblPr>
      <w:tblGrid>
        <w:gridCol w:w="2575"/>
        <w:gridCol w:w="2575"/>
        <w:gridCol w:w="2576"/>
        <w:gridCol w:w="2576"/>
      </w:tblGrid>
      <w:tr w:rsidR="00721834" w14:paraId="17F0090A" w14:textId="77777777">
        <w:tc>
          <w:tcPr>
            <w:tcW w:w="2578" w:type="dxa"/>
            <w:shd w:val="clear" w:color="auto" w:fill="1F4E2F"/>
            <w:vAlign w:val="center"/>
          </w:tcPr>
          <w:p w14:paraId="75958879" w14:textId="77777777" w:rsidR="00721834" w:rsidRDefault="00855ADE">
            <w:r>
              <w:rPr>
                <w:b/>
                <w:color w:val="FFFFFF"/>
                <w:sz w:val="16"/>
              </w:rPr>
              <w:t>Kazalnik</w:t>
            </w:r>
          </w:p>
        </w:tc>
        <w:tc>
          <w:tcPr>
            <w:tcW w:w="2578" w:type="dxa"/>
            <w:shd w:val="clear" w:color="auto" w:fill="1F4E2F"/>
            <w:vAlign w:val="center"/>
          </w:tcPr>
          <w:p w14:paraId="04A18B23" w14:textId="77777777" w:rsidR="00721834" w:rsidRDefault="00855ADE">
            <w:r>
              <w:rPr>
                <w:b/>
                <w:color w:val="FFFFFF"/>
                <w:sz w:val="16"/>
              </w:rPr>
              <w:t>Vrednost</w:t>
            </w:r>
          </w:p>
        </w:tc>
        <w:tc>
          <w:tcPr>
            <w:tcW w:w="2578" w:type="dxa"/>
            <w:shd w:val="clear" w:color="auto" w:fill="1F4E2F"/>
            <w:vAlign w:val="center"/>
          </w:tcPr>
          <w:p w14:paraId="446376E3" w14:textId="77777777" w:rsidR="00721834" w:rsidRDefault="00855ADE">
            <w:r>
              <w:rPr>
                <w:b/>
                <w:color w:val="FFFFFF"/>
                <w:sz w:val="16"/>
              </w:rPr>
              <w:t>Pomen</w:t>
            </w:r>
          </w:p>
        </w:tc>
        <w:tc>
          <w:tcPr>
            <w:tcW w:w="2578" w:type="dxa"/>
            <w:shd w:val="clear" w:color="auto" w:fill="1F4E2F"/>
            <w:vAlign w:val="center"/>
          </w:tcPr>
          <w:p w14:paraId="36D4ACA5" w14:textId="77777777" w:rsidR="00721834" w:rsidRDefault="00855ADE">
            <w:r>
              <w:rPr>
                <w:b/>
                <w:color w:val="FFFFFF"/>
                <w:sz w:val="16"/>
              </w:rPr>
              <w:t>Priporočilo</w:t>
            </w:r>
          </w:p>
        </w:tc>
      </w:tr>
      <w:tr w:rsidR="00721834" w14:paraId="4E745579" w14:textId="77777777">
        <w:tc>
          <w:tcPr>
            <w:tcW w:w="2578" w:type="dxa"/>
            <w:vAlign w:val="center"/>
          </w:tcPr>
          <w:p w14:paraId="6E9788F7" w14:textId="77777777" w:rsidR="00721834" w:rsidRDefault="00855ADE">
            <w:r>
              <w:rPr>
                <w:sz w:val="16"/>
              </w:rPr>
              <w:t>Letna poraba objekta</w:t>
            </w:r>
          </w:p>
        </w:tc>
        <w:tc>
          <w:tcPr>
            <w:tcW w:w="2578" w:type="dxa"/>
            <w:vAlign w:val="center"/>
          </w:tcPr>
          <w:p w14:paraId="466E5EBF" w14:textId="77777777" w:rsidR="00721834" w:rsidRDefault="00855ADE">
            <w:r>
              <w:rPr>
                <w:sz w:val="16"/>
              </w:rPr>
              <w:t>22,9 MWh</w:t>
            </w:r>
          </w:p>
        </w:tc>
        <w:tc>
          <w:tcPr>
            <w:tcW w:w="2578" w:type="dxa"/>
            <w:vAlign w:val="center"/>
          </w:tcPr>
          <w:p w14:paraId="13359856" w14:textId="77777777" w:rsidR="00721834" w:rsidRDefault="00855ADE">
            <w:r>
              <w:rPr>
                <w:sz w:val="16"/>
              </w:rPr>
              <w:t>nižja od proizvodnje</w:t>
            </w:r>
          </w:p>
        </w:tc>
        <w:tc>
          <w:tcPr>
            <w:tcW w:w="2578" w:type="dxa"/>
            <w:vAlign w:val="center"/>
          </w:tcPr>
          <w:p w14:paraId="0A21D1A5" w14:textId="77777777" w:rsidR="00721834" w:rsidRDefault="00855ADE">
            <w:r>
              <w:rPr>
                <w:sz w:val="16"/>
              </w:rPr>
              <w:t>povečati koristno rabo energije</w:t>
            </w:r>
          </w:p>
        </w:tc>
      </w:tr>
      <w:tr w:rsidR="00721834" w14:paraId="66DCBE0D" w14:textId="77777777">
        <w:tc>
          <w:tcPr>
            <w:tcW w:w="2578" w:type="dxa"/>
            <w:vAlign w:val="center"/>
          </w:tcPr>
          <w:p w14:paraId="5FFFD514" w14:textId="77777777" w:rsidR="00721834" w:rsidRDefault="00855ADE">
            <w:r>
              <w:rPr>
                <w:sz w:val="16"/>
              </w:rPr>
              <w:t>Ocenjena letna proizvodnja</w:t>
            </w:r>
          </w:p>
        </w:tc>
        <w:tc>
          <w:tcPr>
            <w:tcW w:w="2578" w:type="dxa"/>
            <w:vAlign w:val="center"/>
          </w:tcPr>
          <w:p w14:paraId="749E3D19" w14:textId="77777777" w:rsidR="00721834" w:rsidRDefault="00855ADE">
            <w:r>
              <w:rPr>
                <w:sz w:val="16"/>
              </w:rPr>
              <w:t>38,8 MWh</w:t>
            </w:r>
          </w:p>
        </w:tc>
        <w:tc>
          <w:tcPr>
            <w:tcW w:w="2578" w:type="dxa"/>
            <w:vAlign w:val="center"/>
          </w:tcPr>
          <w:p w14:paraId="759AEA4E" w14:textId="77777777" w:rsidR="00721834" w:rsidRDefault="00855ADE">
            <w:r>
              <w:rPr>
                <w:sz w:val="16"/>
              </w:rPr>
              <w:t>presega potrebe objekta</w:t>
            </w:r>
          </w:p>
        </w:tc>
        <w:tc>
          <w:tcPr>
            <w:tcW w:w="2578" w:type="dxa"/>
            <w:vAlign w:val="center"/>
          </w:tcPr>
          <w:p w14:paraId="531BA6D9" w14:textId="77777777" w:rsidR="00721834" w:rsidRDefault="00855ADE">
            <w:r>
              <w:rPr>
                <w:sz w:val="16"/>
              </w:rPr>
              <w:t>spremljati oddajo v omrežje mesečno</w:t>
            </w:r>
          </w:p>
        </w:tc>
      </w:tr>
      <w:tr w:rsidR="00721834" w14:paraId="4C0AC288" w14:textId="77777777">
        <w:tc>
          <w:tcPr>
            <w:tcW w:w="2578" w:type="dxa"/>
            <w:vAlign w:val="center"/>
          </w:tcPr>
          <w:p w14:paraId="3D73F627" w14:textId="77777777" w:rsidR="00721834" w:rsidRDefault="00855ADE">
            <w:r>
              <w:rPr>
                <w:sz w:val="16"/>
              </w:rPr>
              <w:t>Ocenjeni višek</w:t>
            </w:r>
          </w:p>
        </w:tc>
        <w:tc>
          <w:tcPr>
            <w:tcW w:w="2578" w:type="dxa"/>
            <w:vAlign w:val="center"/>
          </w:tcPr>
          <w:p w14:paraId="24B7128E" w14:textId="77777777" w:rsidR="00721834" w:rsidRDefault="00855ADE">
            <w:r>
              <w:rPr>
                <w:sz w:val="16"/>
              </w:rPr>
              <w:t>15,9 MWh</w:t>
            </w:r>
          </w:p>
        </w:tc>
        <w:tc>
          <w:tcPr>
            <w:tcW w:w="2578" w:type="dxa"/>
            <w:vAlign w:val="center"/>
          </w:tcPr>
          <w:p w14:paraId="1E4FAA01" w14:textId="77777777" w:rsidR="00721834" w:rsidRDefault="00855ADE">
            <w:r>
              <w:rPr>
                <w:sz w:val="16"/>
              </w:rPr>
              <w:t>41,0 % proizvodnje</w:t>
            </w:r>
          </w:p>
        </w:tc>
        <w:tc>
          <w:tcPr>
            <w:tcW w:w="2578" w:type="dxa"/>
            <w:vAlign w:val="center"/>
          </w:tcPr>
          <w:p w14:paraId="7139A8B9" w14:textId="77777777" w:rsidR="00721834" w:rsidRDefault="00855ADE">
            <w:r>
              <w:rPr>
                <w:sz w:val="16"/>
              </w:rPr>
              <w:t>preveriti toplotno črpalko in profil porabe</w:t>
            </w:r>
          </w:p>
        </w:tc>
      </w:tr>
    </w:tbl>
    <w:p w14:paraId="53D5C907" w14:textId="77777777" w:rsidR="00721834" w:rsidRDefault="00855ADE">
      <w:pPr>
        <w:pStyle w:val="Naslov2"/>
      </w:pPr>
      <w:r>
        <w:rPr>
          <w:rFonts w:ascii="Arial" w:hAnsi="Arial"/>
        </w:rPr>
        <w:t>4.2 SE POŠ Bukovica</w:t>
      </w:r>
    </w:p>
    <w:p w14:paraId="4B8DE16B" w14:textId="77777777" w:rsidR="00721834" w:rsidRDefault="00855ADE">
      <w:r>
        <w:t>Elektrarna POŠ Bukovica ima moč 54,0 kWp in proizvodnjo 37,3 MWh. Specifični donos znaša samo 691 kWh/kWp, kar je bistveno manj kot pri preostalih dveh elektrarnah. Ker gre za relativno veliko elektrarno, ima vsak odstotek izgubljene proizvodnje večji učinek na skupno bilanco občine.</w:t>
      </w:r>
    </w:p>
    <w:p w14:paraId="2C92B35D" w14:textId="77777777" w:rsidR="00721834" w:rsidRDefault="00855ADE">
      <w:r>
        <w:rPr>
          <w:noProof/>
        </w:rPr>
        <w:drawing>
          <wp:inline distT="0" distB="0" distL="0" distR="0" wp14:anchorId="2888F9CE" wp14:editId="137EE4DD">
            <wp:extent cx="4206240" cy="2669687"/>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2"/>
                    <a:stretch>
                      <a:fillRect/>
                    </a:stretch>
                  </pic:blipFill>
                  <pic:spPr>
                    <a:xfrm>
                      <a:off x="0" y="0"/>
                      <a:ext cx="4224892" cy="2681526"/>
                    </a:xfrm>
                    <a:prstGeom prst="rect">
                      <a:avLst/>
                    </a:prstGeom>
                  </pic:spPr>
                </pic:pic>
              </a:graphicData>
            </a:graphic>
          </wp:inline>
        </w:drawing>
      </w:r>
    </w:p>
    <w:p w14:paraId="12F7B98D" w14:textId="77777777" w:rsidR="00721834" w:rsidRDefault="00855ADE">
      <w:pPr>
        <w:jc w:val="center"/>
      </w:pPr>
      <w:r>
        <w:rPr>
          <w:i/>
          <w:sz w:val="16"/>
        </w:rPr>
        <w:t>Slika 4: Obstoječa označba možnega senčenja na strehi POŠ Bukovica iz izhodiščnega gradiva.</w:t>
      </w:r>
    </w:p>
    <w:tbl>
      <w:tblPr>
        <w:tblStyle w:val="Tabelamrea"/>
        <w:tblW w:w="0" w:type="auto"/>
        <w:tblLook w:val="04A0" w:firstRow="1" w:lastRow="0" w:firstColumn="1" w:lastColumn="0" w:noHBand="0" w:noVBand="1"/>
      </w:tblPr>
      <w:tblGrid>
        <w:gridCol w:w="2060"/>
        <w:gridCol w:w="2061"/>
        <w:gridCol w:w="2061"/>
        <w:gridCol w:w="2060"/>
        <w:gridCol w:w="2060"/>
      </w:tblGrid>
      <w:tr w:rsidR="00721834" w14:paraId="2DB1384D" w14:textId="77777777">
        <w:tc>
          <w:tcPr>
            <w:tcW w:w="2062" w:type="dxa"/>
            <w:shd w:val="clear" w:color="auto" w:fill="1F4E2F"/>
            <w:vAlign w:val="center"/>
          </w:tcPr>
          <w:p w14:paraId="449603A1" w14:textId="77777777" w:rsidR="00721834" w:rsidRDefault="00855ADE">
            <w:r>
              <w:rPr>
                <w:b/>
                <w:color w:val="FFFFFF"/>
                <w:sz w:val="16"/>
              </w:rPr>
              <w:lastRenderedPageBreak/>
              <w:t>Možen vzrok</w:t>
            </w:r>
          </w:p>
        </w:tc>
        <w:tc>
          <w:tcPr>
            <w:tcW w:w="2062" w:type="dxa"/>
            <w:shd w:val="clear" w:color="auto" w:fill="1F4E2F"/>
            <w:vAlign w:val="center"/>
          </w:tcPr>
          <w:p w14:paraId="4A16142D" w14:textId="77777777" w:rsidR="00721834" w:rsidRDefault="00855ADE">
            <w:r>
              <w:rPr>
                <w:b/>
                <w:color w:val="FFFFFF"/>
                <w:sz w:val="16"/>
              </w:rPr>
              <w:t>Kaj preveriti</w:t>
            </w:r>
          </w:p>
        </w:tc>
        <w:tc>
          <w:tcPr>
            <w:tcW w:w="2062" w:type="dxa"/>
            <w:shd w:val="clear" w:color="auto" w:fill="1F4E2F"/>
            <w:vAlign w:val="center"/>
          </w:tcPr>
          <w:p w14:paraId="4C10D046" w14:textId="77777777" w:rsidR="00721834" w:rsidRDefault="00855ADE">
            <w:r>
              <w:rPr>
                <w:b/>
                <w:color w:val="FFFFFF"/>
                <w:sz w:val="16"/>
              </w:rPr>
              <w:t>Podatek/metoda</w:t>
            </w:r>
          </w:p>
        </w:tc>
        <w:tc>
          <w:tcPr>
            <w:tcW w:w="2062" w:type="dxa"/>
            <w:shd w:val="clear" w:color="auto" w:fill="1F4E2F"/>
            <w:vAlign w:val="center"/>
          </w:tcPr>
          <w:p w14:paraId="3C12E3AC" w14:textId="77777777" w:rsidR="00721834" w:rsidRDefault="00855ADE">
            <w:r>
              <w:rPr>
                <w:b/>
                <w:color w:val="FFFFFF"/>
                <w:sz w:val="16"/>
              </w:rPr>
              <w:t>Prioriteta</w:t>
            </w:r>
          </w:p>
        </w:tc>
        <w:tc>
          <w:tcPr>
            <w:tcW w:w="2062" w:type="dxa"/>
            <w:shd w:val="clear" w:color="auto" w:fill="1F4E2F"/>
            <w:vAlign w:val="center"/>
          </w:tcPr>
          <w:p w14:paraId="3BB519F2" w14:textId="77777777" w:rsidR="00721834" w:rsidRDefault="00855ADE">
            <w:r>
              <w:rPr>
                <w:b/>
                <w:color w:val="FFFFFF"/>
                <w:sz w:val="16"/>
              </w:rPr>
              <w:t>Pričakovani rezultat</w:t>
            </w:r>
          </w:p>
        </w:tc>
      </w:tr>
      <w:tr w:rsidR="00721834" w14:paraId="0A4F3397" w14:textId="77777777">
        <w:tc>
          <w:tcPr>
            <w:tcW w:w="2062" w:type="dxa"/>
            <w:vAlign w:val="center"/>
          </w:tcPr>
          <w:p w14:paraId="02C99E38" w14:textId="77777777" w:rsidR="00721834" w:rsidRDefault="00855ADE">
            <w:r>
              <w:rPr>
                <w:sz w:val="14"/>
              </w:rPr>
              <w:t>Senčenje</w:t>
            </w:r>
          </w:p>
        </w:tc>
        <w:tc>
          <w:tcPr>
            <w:tcW w:w="2062" w:type="dxa"/>
            <w:vAlign w:val="center"/>
          </w:tcPr>
          <w:p w14:paraId="0BC77F52" w14:textId="77777777" w:rsidR="00721834" w:rsidRDefault="00855ADE">
            <w:r>
              <w:rPr>
                <w:sz w:val="14"/>
              </w:rPr>
              <w:t>drevje, robovi strehe, jutranje/popoldansko senčenje</w:t>
            </w:r>
          </w:p>
        </w:tc>
        <w:tc>
          <w:tcPr>
            <w:tcW w:w="2062" w:type="dxa"/>
            <w:vAlign w:val="center"/>
          </w:tcPr>
          <w:p w14:paraId="7F6C3060" w14:textId="77777777" w:rsidR="00721834" w:rsidRDefault="00855ADE">
            <w:r>
              <w:rPr>
                <w:sz w:val="14"/>
              </w:rPr>
              <w:t>SolarEdge proizvodnja po optimizatorjih + ogled na terenu</w:t>
            </w:r>
          </w:p>
        </w:tc>
        <w:tc>
          <w:tcPr>
            <w:tcW w:w="2062" w:type="dxa"/>
            <w:vAlign w:val="center"/>
          </w:tcPr>
          <w:p w14:paraId="7488BD90" w14:textId="77777777" w:rsidR="00721834" w:rsidRDefault="00855ADE">
            <w:r>
              <w:rPr>
                <w:sz w:val="14"/>
              </w:rPr>
              <w:t>1</w:t>
            </w:r>
          </w:p>
        </w:tc>
        <w:tc>
          <w:tcPr>
            <w:tcW w:w="2062" w:type="dxa"/>
            <w:vAlign w:val="center"/>
          </w:tcPr>
          <w:p w14:paraId="3CDD2131" w14:textId="77777777" w:rsidR="00721834" w:rsidRDefault="00855ADE">
            <w:r>
              <w:rPr>
                <w:sz w:val="14"/>
              </w:rPr>
              <w:t>ločitev vpliva senčenja od okvare</w:t>
            </w:r>
          </w:p>
        </w:tc>
      </w:tr>
      <w:tr w:rsidR="00721834" w14:paraId="2A016075" w14:textId="77777777">
        <w:tc>
          <w:tcPr>
            <w:tcW w:w="2062" w:type="dxa"/>
            <w:vAlign w:val="center"/>
          </w:tcPr>
          <w:p w14:paraId="1B7AD2B8" w14:textId="77777777" w:rsidR="00721834" w:rsidRDefault="00855ADE">
            <w:r>
              <w:rPr>
                <w:sz w:val="14"/>
              </w:rPr>
              <w:t>Izpad niza/modulov</w:t>
            </w:r>
          </w:p>
        </w:tc>
        <w:tc>
          <w:tcPr>
            <w:tcW w:w="2062" w:type="dxa"/>
            <w:vAlign w:val="center"/>
          </w:tcPr>
          <w:p w14:paraId="51F28C6C" w14:textId="77777777" w:rsidR="00721834" w:rsidRDefault="00855ADE">
            <w:r>
              <w:rPr>
                <w:sz w:val="14"/>
              </w:rPr>
              <w:t>ali ima del polja trajno nižjo proizvodnjo</w:t>
            </w:r>
          </w:p>
        </w:tc>
        <w:tc>
          <w:tcPr>
            <w:tcW w:w="2062" w:type="dxa"/>
            <w:vAlign w:val="center"/>
          </w:tcPr>
          <w:p w14:paraId="6101F22F" w14:textId="77777777" w:rsidR="00721834" w:rsidRDefault="00855ADE">
            <w:r>
              <w:rPr>
                <w:sz w:val="14"/>
              </w:rPr>
              <w:t>primerjava nizov in alarmi razsmernika</w:t>
            </w:r>
          </w:p>
        </w:tc>
        <w:tc>
          <w:tcPr>
            <w:tcW w:w="2062" w:type="dxa"/>
            <w:vAlign w:val="center"/>
          </w:tcPr>
          <w:p w14:paraId="22B4E4F2" w14:textId="77777777" w:rsidR="00721834" w:rsidRDefault="00855ADE">
            <w:r>
              <w:rPr>
                <w:sz w:val="14"/>
              </w:rPr>
              <w:t>1</w:t>
            </w:r>
          </w:p>
        </w:tc>
        <w:tc>
          <w:tcPr>
            <w:tcW w:w="2062" w:type="dxa"/>
            <w:vAlign w:val="center"/>
          </w:tcPr>
          <w:p w14:paraId="10BFD2A9" w14:textId="77777777" w:rsidR="00721834" w:rsidRDefault="00855ADE">
            <w:r>
              <w:rPr>
                <w:sz w:val="14"/>
              </w:rPr>
              <w:t>odprava skritih izpadov</w:t>
            </w:r>
          </w:p>
        </w:tc>
      </w:tr>
      <w:tr w:rsidR="00721834" w14:paraId="10631E06" w14:textId="77777777">
        <w:tc>
          <w:tcPr>
            <w:tcW w:w="2062" w:type="dxa"/>
            <w:vAlign w:val="center"/>
          </w:tcPr>
          <w:p w14:paraId="11DE31C9" w14:textId="77777777" w:rsidR="00721834" w:rsidRDefault="00855ADE">
            <w:r>
              <w:rPr>
                <w:sz w:val="14"/>
              </w:rPr>
              <w:t>Konfiguracija</w:t>
            </w:r>
          </w:p>
        </w:tc>
        <w:tc>
          <w:tcPr>
            <w:tcW w:w="2062" w:type="dxa"/>
            <w:vAlign w:val="center"/>
          </w:tcPr>
          <w:p w14:paraId="1428B839" w14:textId="77777777" w:rsidR="00721834" w:rsidRDefault="00855ADE">
            <w:r>
              <w:rPr>
                <w:sz w:val="14"/>
              </w:rPr>
              <w:t>ali so moduli, naklon in orientacija skladni s projektom</w:t>
            </w:r>
          </w:p>
        </w:tc>
        <w:tc>
          <w:tcPr>
            <w:tcW w:w="2062" w:type="dxa"/>
            <w:vAlign w:val="center"/>
          </w:tcPr>
          <w:p w14:paraId="79303221" w14:textId="77777777" w:rsidR="00721834" w:rsidRDefault="00855ADE">
            <w:r>
              <w:rPr>
                <w:sz w:val="14"/>
              </w:rPr>
              <w:t>primerjava PZI - izvedeno stanje</w:t>
            </w:r>
          </w:p>
        </w:tc>
        <w:tc>
          <w:tcPr>
            <w:tcW w:w="2062" w:type="dxa"/>
            <w:vAlign w:val="center"/>
          </w:tcPr>
          <w:p w14:paraId="49000A82" w14:textId="77777777" w:rsidR="00721834" w:rsidRDefault="00855ADE">
            <w:r>
              <w:rPr>
                <w:sz w:val="14"/>
              </w:rPr>
              <w:t>2</w:t>
            </w:r>
          </w:p>
        </w:tc>
        <w:tc>
          <w:tcPr>
            <w:tcW w:w="2062" w:type="dxa"/>
            <w:vAlign w:val="center"/>
          </w:tcPr>
          <w:p w14:paraId="219FF412" w14:textId="77777777" w:rsidR="00721834" w:rsidRDefault="00855ADE">
            <w:r>
              <w:rPr>
                <w:sz w:val="14"/>
              </w:rPr>
              <w:t>realna referenčna vrednost</w:t>
            </w:r>
          </w:p>
        </w:tc>
      </w:tr>
      <w:tr w:rsidR="00721834" w14:paraId="005AABE1" w14:textId="77777777">
        <w:tc>
          <w:tcPr>
            <w:tcW w:w="2062" w:type="dxa"/>
            <w:vAlign w:val="center"/>
          </w:tcPr>
          <w:p w14:paraId="45838A98" w14:textId="77777777" w:rsidR="00721834" w:rsidRDefault="00855ADE">
            <w:r>
              <w:rPr>
                <w:sz w:val="14"/>
              </w:rPr>
              <w:t>Omejitve oddaje</w:t>
            </w:r>
          </w:p>
        </w:tc>
        <w:tc>
          <w:tcPr>
            <w:tcW w:w="2062" w:type="dxa"/>
            <w:vAlign w:val="center"/>
          </w:tcPr>
          <w:p w14:paraId="6268CED2" w14:textId="77777777" w:rsidR="00721834" w:rsidRDefault="00855ADE">
            <w:r>
              <w:rPr>
                <w:sz w:val="14"/>
              </w:rPr>
              <w:t>ali prihaja do omejevanja moči</w:t>
            </w:r>
          </w:p>
        </w:tc>
        <w:tc>
          <w:tcPr>
            <w:tcW w:w="2062" w:type="dxa"/>
            <w:vAlign w:val="center"/>
          </w:tcPr>
          <w:p w14:paraId="69D333D1" w14:textId="77777777" w:rsidR="00721834" w:rsidRDefault="00855ADE">
            <w:r>
              <w:rPr>
                <w:sz w:val="14"/>
              </w:rPr>
              <w:t>dnevni profili moči, statusi razsmernika</w:t>
            </w:r>
          </w:p>
        </w:tc>
        <w:tc>
          <w:tcPr>
            <w:tcW w:w="2062" w:type="dxa"/>
            <w:vAlign w:val="center"/>
          </w:tcPr>
          <w:p w14:paraId="6677B77C" w14:textId="77777777" w:rsidR="00721834" w:rsidRDefault="00855ADE">
            <w:r>
              <w:rPr>
                <w:sz w:val="14"/>
              </w:rPr>
              <w:t>2</w:t>
            </w:r>
          </w:p>
        </w:tc>
        <w:tc>
          <w:tcPr>
            <w:tcW w:w="2062" w:type="dxa"/>
            <w:vAlign w:val="center"/>
          </w:tcPr>
          <w:p w14:paraId="19C6F2BB" w14:textId="77777777" w:rsidR="00721834" w:rsidRDefault="00855ADE">
            <w:r>
              <w:rPr>
                <w:sz w:val="14"/>
              </w:rPr>
              <w:t>ocena izgubljene proizvodnje</w:t>
            </w:r>
          </w:p>
        </w:tc>
      </w:tr>
      <w:tr w:rsidR="00721834" w14:paraId="386445E3" w14:textId="77777777">
        <w:tc>
          <w:tcPr>
            <w:tcW w:w="2062" w:type="dxa"/>
            <w:vAlign w:val="center"/>
          </w:tcPr>
          <w:p w14:paraId="31809634" w14:textId="77777777" w:rsidR="00721834" w:rsidRDefault="00855ADE">
            <w:r>
              <w:rPr>
                <w:sz w:val="14"/>
              </w:rPr>
              <w:t>Vzdrževanje</w:t>
            </w:r>
          </w:p>
        </w:tc>
        <w:tc>
          <w:tcPr>
            <w:tcW w:w="2062" w:type="dxa"/>
            <w:vAlign w:val="center"/>
          </w:tcPr>
          <w:p w14:paraId="2D0F1CF7" w14:textId="77777777" w:rsidR="00721834" w:rsidRDefault="00855ADE">
            <w:r>
              <w:rPr>
                <w:sz w:val="14"/>
              </w:rPr>
              <w:t>umazanost, vegetacija, mehanske poškodbe</w:t>
            </w:r>
          </w:p>
        </w:tc>
        <w:tc>
          <w:tcPr>
            <w:tcW w:w="2062" w:type="dxa"/>
            <w:vAlign w:val="center"/>
          </w:tcPr>
          <w:p w14:paraId="37D6E9F3" w14:textId="77777777" w:rsidR="00721834" w:rsidRDefault="00855ADE">
            <w:r>
              <w:rPr>
                <w:sz w:val="14"/>
              </w:rPr>
              <w:t>vizualni pregled, termografija po potrebi</w:t>
            </w:r>
          </w:p>
        </w:tc>
        <w:tc>
          <w:tcPr>
            <w:tcW w:w="2062" w:type="dxa"/>
            <w:vAlign w:val="center"/>
          </w:tcPr>
          <w:p w14:paraId="4AD9EE49" w14:textId="77777777" w:rsidR="00721834" w:rsidRDefault="00855ADE">
            <w:r>
              <w:rPr>
                <w:sz w:val="14"/>
              </w:rPr>
              <w:t>3</w:t>
            </w:r>
          </w:p>
        </w:tc>
        <w:tc>
          <w:tcPr>
            <w:tcW w:w="2062" w:type="dxa"/>
            <w:vAlign w:val="center"/>
          </w:tcPr>
          <w:p w14:paraId="25974CA6" w14:textId="77777777" w:rsidR="00721834" w:rsidRDefault="00855ADE">
            <w:r>
              <w:rPr>
                <w:sz w:val="14"/>
              </w:rPr>
              <w:t>načrt rednega vzdrževanja</w:t>
            </w:r>
          </w:p>
        </w:tc>
      </w:tr>
    </w:tbl>
    <w:p w14:paraId="79D9D72C" w14:textId="77777777" w:rsidR="00721834" w:rsidRDefault="00855ADE">
      <w:r>
        <w:t>Za samooskrbno skupnost POŠ Bukovica je v obravnavanem obdobju navedena skupna poraba 64,6 MWh in obračunsko dodeljena proizvodnja 52,28 MWh. To pomeni približno 80,9 % pokritost porabe z dodeljeno proizvodnjo, zato poraba v skupnosti sama po sebi ni ozko grlo; ozko grlo je predvsem proizvodnja elektrarne.</w:t>
      </w:r>
    </w:p>
    <w:p w14:paraId="3520BEA7" w14:textId="77777777" w:rsidR="00721834" w:rsidRDefault="00855ADE">
      <w:pPr>
        <w:pStyle w:val="Naslov2"/>
      </w:pPr>
      <w:r>
        <w:rPr>
          <w:rFonts w:ascii="Arial" w:hAnsi="Arial"/>
        </w:rPr>
        <w:t>4.3 SE OŠ Renče</w:t>
      </w:r>
    </w:p>
    <w:p w14:paraId="443ED653" w14:textId="77777777" w:rsidR="00721834" w:rsidRDefault="00855ADE">
      <w:r>
        <w:t>Elektrarna OŠ Renče ima največjo moč (79,2 kWp) in največjo proizvodnjo (82,3 MWh). Specifični donos znaša 1.039 kWh/kWp, kar je blizu POŠ Vogrsko in bistveno bolje od POŠ Bukovica. Pri tem objektu je pomembno, da je elektrarna vključena v skupnost z več odjemnimi mesti, zato je tveganje neporabljenih viškov manjše.</w:t>
      </w:r>
    </w:p>
    <w:p w14:paraId="39B0F6D5" w14:textId="44D75147" w:rsidR="00721834" w:rsidRDefault="00855ADE">
      <w:r>
        <w:t xml:space="preserve">Pri tabeli za samooskrbno skupnost OŠ Renče je zaznana aritmetična nejasnost: seštevek treh navedenih porab je 94,74 MWh, medtem ko je v tabeli zapisan skupni znesek 97,74 MWh. Ker se skupna bilanca -4,01 MWh </w:t>
      </w:r>
      <w:proofErr w:type="spellStart"/>
      <w:r>
        <w:t>ujema</w:t>
      </w:r>
      <w:proofErr w:type="spellEnd"/>
      <w:r>
        <w:t xml:space="preserve"> s </w:t>
      </w:r>
      <w:proofErr w:type="spellStart"/>
      <w:r>
        <w:t>seštevkom</w:t>
      </w:r>
      <w:proofErr w:type="spellEnd"/>
      <w:r>
        <w:t xml:space="preserve"> </w:t>
      </w:r>
      <w:proofErr w:type="spellStart"/>
      <w:r>
        <w:t>posameznih</w:t>
      </w:r>
      <w:proofErr w:type="spellEnd"/>
      <w:r>
        <w:t xml:space="preserve"> </w:t>
      </w:r>
      <w:proofErr w:type="spellStart"/>
      <w:r>
        <w:t>bilanc</w:t>
      </w:r>
      <w:proofErr w:type="spellEnd"/>
      <w:r w:rsidR="00C5539B">
        <w:t>.</w:t>
      </w:r>
    </w:p>
    <w:p w14:paraId="54FA2A8F" w14:textId="77777777" w:rsidR="00721834" w:rsidRDefault="00855ADE">
      <w:pPr>
        <w:pStyle w:val="Naslov1"/>
      </w:pPr>
      <w:r>
        <w:rPr>
          <w:rFonts w:ascii="Arial" w:hAnsi="Arial"/>
        </w:rPr>
        <w:t>5. Energetske bilance in raba proizvedene električne energije</w:t>
      </w:r>
    </w:p>
    <w:p w14:paraId="1C3FA058" w14:textId="77777777" w:rsidR="00721834" w:rsidRDefault="00855ADE">
      <w:r>
        <w:t>Pri občinskih sončnih elektrarnah je bistven praktični kazalnik, koliko proizvedene energije se koristno porabi v objektu oziroma skupnosti. Zato spodnja tabela razlikuje med individualno samooskrbo POŠ Vogrsko in skupnostnima shemama POŠ Bukovica ter OŠ Renče.</w:t>
      </w:r>
    </w:p>
    <w:p w14:paraId="4FF71520" w14:textId="77777777" w:rsidR="00721834" w:rsidRDefault="00855ADE">
      <w:r>
        <w:rPr>
          <w:noProof/>
        </w:rPr>
        <w:drawing>
          <wp:inline distT="0" distB="0" distL="0" distR="0" wp14:anchorId="2E01A254" wp14:editId="0FBD38E6">
            <wp:extent cx="5760000" cy="32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nce.png"/>
                    <pic:cNvPicPr/>
                  </pic:nvPicPr>
                  <pic:blipFill>
                    <a:blip r:embed="rId13"/>
                    <a:stretch>
                      <a:fillRect/>
                    </a:stretch>
                  </pic:blipFill>
                  <pic:spPr>
                    <a:xfrm>
                      <a:off x="0" y="0"/>
                      <a:ext cx="5760000" cy="3200000"/>
                    </a:xfrm>
                    <a:prstGeom prst="rect">
                      <a:avLst/>
                    </a:prstGeom>
                  </pic:spPr>
                </pic:pic>
              </a:graphicData>
            </a:graphic>
          </wp:inline>
        </w:drawing>
      </w:r>
    </w:p>
    <w:p w14:paraId="54F25F90" w14:textId="77777777" w:rsidR="00721834" w:rsidRDefault="00855ADE">
      <w:pPr>
        <w:jc w:val="center"/>
      </w:pPr>
      <w:r>
        <w:rPr>
          <w:i/>
          <w:sz w:val="16"/>
        </w:rPr>
        <w:t>Slika 5: Primerjava porabe in proizvodnje oziroma obračunsko dodeljene proizvodnje.</w:t>
      </w:r>
    </w:p>
    <w:tbl>
      <w:tblPr>
        <w:tblStyle w:val="Tabelamrea"/>
        <w:tblW w:w="0" w:type="auto"/>
        <w:tblLook w:val="04A0" w:firstRow="1" w:lastRow="0" w:firstColumn="1" w:lastColumn="0" w:noHBand="0" w:noVBand="1"/>
      </w:tblPr>
      <w:tblGrid>
        <w:gridCol w:w="1689"/>
        <w:gridCol w:w="1674"/>
        <w:gridCol w:w="1870"/>
        <w:gridCol w:w="1675"/>
        <w:gridCol w:w="1707"/>
        <w:gridCol w:w="1687"/>
      </w:tblGrid>
      <w:tr w:rsidR="00721834" w14:paraId="1991F769" w14:textId="77777777">
        <w:tc>
          <w:tcPr>
            <w:tcW w:w="1719" w:type="dxa"/>
            <w:shd w:val="clear" w:color="auto" w:fill="1F4E2F"/>
            <w:vAlign w:val="center"/>
          </w:tcPr>
          <w:p w14:paraId="71490993" w14:textId="77777777" w:rsidR="00721834" w:rsidRDefault="00855ADE">
            <w:r>
              <w:rPr>
                <w:b/>
                <w:color w:val="FFFFFF"/>
                <w:sz w:val="16"/>
              </w:rPr>
              <w:lastRenderedPageBreak/>
              <w:t>Shema</w:t>
            </w:r>
          </w:p>
        </w:tc>
        <w:tc>
          <w:tcPr>
            <w:tcW w:w="1719" w:type="dxa"/>
            <w:shd w:val="clear" w:color="auto" w:fill="1F4E2F"/>
            <w:vAlign w:val="center"/>
          </w:tcPr>
          <w:p w14:paraId="1A014CAF" w14:textId="77777777" w:rsidR="00721834" w:rsidRDefault="00855ADE">
            <w:r>
              <w:rPr>
                <w:b/>
                <w:color w:val="FFFFFF"/>
                <w:sz w:val="16"/>
              </w:rPr>
              <w:t>Poraba (MWh)</w:t>
            </w:r>
          </w:p>
        </w:tc>
        <w:tc>
          <w:tcPr>
            <w:tcW w:w="1719" w:type="dxa"/>
            <w:shd w:val="clear" w:color="auto" w:fill="1F4E2F"/>
            <w:vAlign w:val="center"/>
          </w:tcPr>
          <w:p w14:paraId="3EE787DA" w14:textId="77777777" w:rsidR="00721834" w:rsidRDefault="00855ADE">
            <w:r>
              <w:rPr>
                <w:b/>
                <w:color w:val="FFFFFF"/>
                <w:sz w:val="16"/>
              </w:rPr>
              <w:t>Proizvodnja/dodelitev (MWh)</w:t>
            </w:r>
          </w:p>
        </w:tc>
        <w:tc>
          <w:tcPr>
            <w:tcW w:w="1719" w:type="dxa"/>
            <w:shd w:val="clear" w:color="auto" w:fill="1F4E2F"/>
            <w:vAlign w:val="center"/>
          </w:tcPr>
          <w:p w14:paraId="53538B76" w14:textId="77777777" w:rsidR="00721834" w:rsidRDefault="00855ADE">
            <w:r>
              <w:rPr>
                <w:b/>
                <w:color w:val="FFFFFF"/>
                <w:sz w:val="16"/>
              </w:rPr>
              <w:t>Bilanca</w:t>
            </w:r>
          </w:p>
        </w:tc>
        <w:tc>
          <w:tcPr>
            <w:tcW w:w="1719" w:type="dxa"/>
            <w:shd w:val="clear" w:color="auto" w:fill="1F4E2F"/>
            <w:vAlign w:val="center"/>
          </w:tcPr>
          <w:p w14:paraId="471A22D5" w14:textId="77777777" w:rsidR="00721834" w:rsidRDefault="00855ADE">
            <w:r>
              <w:rPr>
                <w:b/>
                <w:color w:val="FFFFFF"/>
                <w:sz w:val="16"/>
              </w:rPr>
              <w:t>Pokritost</w:t>
            </w:r>
          </w:p>
        </w:tc>
        <w:tc>
          <w:tcPr>
            <w:tcW w:w="1719" w:type="dxa"/>
            <w:shd w:val="clear" w:color="auto" w:fill="1F4E2F"/>
            <w:vAlign w:val="center"/>
          </w:tcPr>
          <w:p w14:paraId="50B70D9C" w14:textId="77777777" w:rsidR="00721834" w:rsidRDefault="00855ADE">
            <w:r>
              <w:rPr>
                <w:b/>
                <w:color w:val="FFFFFF"/>
                <w:sz w:val="16"/>
              </w:rPr>
              <w:t>Komentar</w:t>
            </w:r>
          </w:p>
        </w:tc>
      </w:tr>
      <w:tr w:rsidR="00721834" w14:paraId="78BDB426" w14:textId="77777777">
        <w:tc>
          <w:tcPr>
            <w:tcW w:w="1719" w:type="dxa"/>
            <w:vAlign w:val="center"/>
          </w:tcPr>
          <w:p w14:paraId="0FCD338A" w14:textId="77777777" w:rsidR="00721834" w:rsidRDefault="00855ADE">
            <w:r>
              <w:rPr>
                <w:sz w:val="16"/>
              </w:rPr>
              <w:t>POŠ Vogrsko - individualna</w:t>
            </w:r>
          </w:p>
        </w:tc>
        <w:tc>
          <w:tcPr>
            <w:tcW w:w="1719" w:type="dxa"/>
            <w:vAlign w:val="center"/>
          </w:tcPr>
          <w:p w14:paraId="4E3EF80B" w14:textId="77777777" w:rsidR="00721834" w:rsidRDefault="00855ADE">
            <w:r>
              <w:rPr>
                <w:sz w:val="16"/>
              </w:rPr>
              <w:t>22,9</w:t>
            </w:r>
          </w:p>
        </w:tc>
        <w:tc>
          <w:tcPr>
            <w:tcW w:w="1719" w:type="dxa"/>
            <w:vAlign w:val="center"/>
          </w:tcPr>
          <w:p w14:paraId="60BE9FB3" w14:textId="77777777" w:rsidR="00721834" w:rsidRDefault="00855ADE">
            <w:r>
              <w:rPr>
                <w:sz w:val="16"/>
              </w:rPr>
              <w:t>38,8</w:t>
            </w:r>
          </w:p>
        </w:tc>
        <w:tc>
          <w:tcPr>
            <w:tcW w:w="1719" w:type="dxa"/>
            <w:vAlign w:val="center"/>
          </w:tcPr>
          <w:p w14:paraId="0C0190D7" w14:textId="77777777" w:rsidR="00721834" w:rsidRDefault="00855ADE">
            <w:r>
              <w:rPr>
                <w:sz w:val="16"/>
              </w:rPr>
              <w:t>+15,9 MWh viškov</w:t>
            </w:r>
          </w:p>
        </w:tc>
        <w:tc>
          <w:tcPr>
            <w:tcW w:w="1719" w:type="dxa"/>
            <w:vAlign w:val="center"/>
          </w:tcPr>
          <w:p w14:paraId="331E306B" w14:textId="77777777" w:rsidR="00721834" w:rsidRDefault="00855ADE">
            <w:r>
              <w:rPr>
                <w:sz w:val="16"/>
              </w:rPr>
              <w:t>59,0 % koristno/ocenjeno</w:t>
            </w:r>
          </w:p>
        </w:tc>
        <w:tc>
          <w:tcPr>
            <w:tcW w:w="1719" w:type="dxa"/>
            <w:vAlign w:val="center"/>
          </w:tcPr>
          <w:p w14:paraId="28344812" w14:textId="77777777" w:rsidR="00721834" w:rsidRDefault="00855ADE">
            <w:r>
              <w:rPr>
                <w:sz w:val="16"/>
              </w:rPr>
              <w:t>povečati lastno rabo</w:t>
            </w:r>
          </w:p>
        </w:tc>
      </w:tr>
      <w:tr w:rsidR="00721834" w14:paraId="6CE1247F" w14:textId="77777777">
        <w:tc>
          <w:tcPr>
            <w:tcW w:w="1719" w:type="dxa"/>
            <w:vAlign w:val="center"/>
          </w:tcPr>
          <w:p w14:paraId="20B51F4D" w14:textId="77777777" w:rsidR="00721834" w:rsidRDefault="00855ADE">
            <w:r>
              <w:rPr>
                <w:sz w:val="16"/>
              </w:rPr>
              <w:t>POŠ Bukovica - skupnost</w:t>
            </w:r>
          </w:p>
        </w:tc>
        <w:tc>
          <w:tcPr>
            <w:tcW w:w="1719" w:type="dxa"/>
            <w:vAlign w:val="center"/>
          </w:tcPr>
          <w:p w14:paraId="5F7E8C6F" w14:textId="77777777" w:rsidR="00721834" w:rsidRDefault="00855ADE">
            <w:r>
              <w:rPr>
                <w:sz w:val="16"/>
              </w:rPr>
              <w:t>64,6</w:t>
            </w:r>
          </w:p>
        </w:tc>
        <w:tc>
          <w:tcPr>
            <w:tcW w:w="1719" w:type="dxa"/>
            <w:vAlign w:val="center"/>
          </w:tcPr>
          <w:p w14:paraId="14DE78C3" w14:textId="77777777" w:rsidR="00721834" w:rsidRDefault="00855ADE">
            <w:r>
              <w:rPr>
                <w:sz w:val="16"/>
              </w:rPr>
              <w:t>52,28</w:t>
            </w:r>
          </w:p>
        </w:tc>
        <w:tc>
          <w:tcPr>
            <w:tcW w:w="1719" w:type="dxa"/>
            <w:vAlign w:val="center"/>
          </w:tcPr>
          <w:p w14:paraId="35CB7CAD" w14:textId="77777777" w:rsidR="00721834" w:rsidRDefault="00855ADE">
            <w:r>
              <w:rPr>
                <w:sz w:val="16"/>
              </w:rPr>
              <w:t>-12,35 MWh</w:t>
            </w:r>
          </w:p>
        </w:tc>
        <w:tc>
          <w:tcPr>
            <w:tcW w:w="1719" w:type="dxa"/>
            <w:vAlign w:val="center"/>
          </w:tcPr>
          <w:p w14:paraId="5A7AB64A" w14:textId="77777777" w:rsidR="00721834" w:rsidRDefault="00855ADE">
            <w:r>
              <w:rPr>
                <w:sz w:val="16"/>
              </w:rPr>
              <w:t>80,9 %</w:t>
            </w:r>
          </w:p>
        </w:tc>
        <w:tc>
          <w:tcPr>
            <w:tcW w:w="1719" w:type="dxa"/>
            <w:vAlign w:val="center"/>
          </w:tcPr>
          <w:p w14:paraId="30B00CA0" w14:textId="77777777" w:rsidR="00721834" w:rsidRDefault="00855ADE">
            <w:r>
              <w:rPr>
                <w:sz w:val="16"/>
              </w:rPr>
              <w:t>poraba je zadostna; preveriti proizvodnjo</w:t>
            </w:r>
          </w:p>
        </w:tc>
      </w:tr>
      <w:tr w:rsidR="00721834" w14:paraId="3CBE3F57" w14:textId="77777777">
        <w:tc>
          <w:tcPr>
            <w:tcW w:w="1719" w:type="dxa"/>
            <w:vAlign w:val="center"/>
          </w:tcPr>
          <w:p w14:paraId="14421C31" w14:textId="77777777" w:rsidR="00721834" w:rsidRDefault="00855ADE">
            <w:r>
              <w:rPr>
                <w:sz w:val="16"/>
              </w:rPr>
              <w:t>OŠ Renče - skupnost</w:t>
            </w:r>
          </w:p>
        </w:tc>
        <w:tc>
          <w:tcPr>
            <w:tcW w:w="1719" w:type="dxa"/>
            <w:vAlign w:val="center"/>
          </w:tcPr>
          <w:p w14:paraId="4740479C" w14:textId="77777777" w:rsidR="00721834" w:rsidRDefault="00855ADE">
            <w:r>
              <w:rPr>
                <w:sz w:val="16"/>
              </w:rPr>
              <w:t>94,74</w:t>
            </w:r>
          </w:p>
        </w:tc>
        <w:tc>
          <w:tcPr>
            <w:tcW w:w="1719" w:type="dxa"/>
            <w:vAlign w:val="center"/>
          </w:tcPr>
          <w:p w14:paraId="08081447" w14:textId="77777777" w:rsidR="00721834" w:rsidRDefault="00855ADE">
            <w:r>
              <w:rPr>
                <w:sz w:val="16"/>
              </w:rPr>
              <w:t>90,74</w:t>
            </w:r>
          </w:p>
        </w:tc>
        <w:tc>
          <w:tcPr>
            <w:tcW w:w="1719" w:type="dxa"/>
            <w:vAlign w:val="center"/>
          </w:tcPr>
          <w:p w14:paraId="38FE8AC9" w14:textId="77777777" w:rsidR="00721834" w:rsidRDefault="00855ADE">
            <w:r>
              <w:rPr>
                <w:sz w:val="16"/>
              </w:rPr>
              <w:t>-4,01 MWh</w:t>
            </w:r>
          </w:p>
        </w:tc>
        <w:tc>
          <w:tcPr>
            <w:tcW w:w="1719" w:type="dxa"/>
            <w:vAlign w:val="center"/>
          </w:tcPr>
          <w:p w14:paraId="181F1431" w14:textId="77777777" w:rsidR="00721834" w:rsidRDefault="00855ADE">
            <w:r>
              <w:rPr>
                <w:sz w:val="16"/>
              </w:rPr>
              <w:t>95,8 %</w:t>
            </w:r>
          </w:p>
        </w:tc>
        <w:tc>
          <w:tcPr>
            <w:tcW w:w="1719" w:type="dxa"/>
            <w:vAlign w:val="center"/>
          </w:tcPr>
          <w:p w14:paraId="7B56671A" w14:textId="77777777" w:rsidR="00721834" w:rsidRDefault="00855ADE">
            <w:r>
              <w:rPr>
                <w:sz w:val="16"/>
              </w:rPr>
              <w:t>preveriti tipkarsko napako v skupni porabi</w:t>
            </w:r>
          </w:p>
        </w:tc>
      </w:tr>
    </w:tbl>
    <w:p w14:paraId="6990BFD9" w14:textId="77777777" w:rsidR="00721834" w:rsidRDefault="00855ADE">
      <w:pPr>
        <w:pStyle w:val="Naslov1"/>
      </w:pPr>
      <w:r>
        <w:rPr>
          <w:rFonts w:ascii="Arial" w:hAnsi="Arial"/>
        </w:rPr>
        <w:t>6. Strokovna presoja obratovanja</w:t>
      </w:r>
    </w:p>
    <w:p w14:paraId="711CE077" w14:textId="77777777" w:rsidR="00721834" w:rsidRDefault="00855ADE">
      <w:pPr>
        <w:pStyle w:val="Naslov2"/>
      </w:pPr>
      <w:r>
        <w:rPr>
          <w:rFonts w:ascii="Arial" w:hAnsi="Arial"/>
        </w:rPr>
        <w:t>6.1 Kaj je pri poročanju pomembnejše od samega plana</w:t>
      </w:r>
    </w:p>
    <w:p w14:paraId="46C49A0F" w14:textId="15DCBDDF" w:rsidR="00721834" w:rsidRDefault="00855ADE">
      <w:r>
        <w:t xml:space="preserve">Projektirani plan </w:t>
      </w:r>
      <w:proofErr w:type="spellStart"/>
      <w:r>
        <w:t>proizvodnje</w:t>
      </w:r>
      <w:proofErr w:type="spellEnd"/>
      <w:r>
        <w:t xml:space="preserve"> je </w:t>
      </w:r>
      <w:proofErr w:type="spellStart"/>
      <w:r>
        <w:t>koristen</w:t>
      </w:r>
      <w:proofErr w:type="spellEnd"/>
      <w:r>
        <w:t xml:space="preserve"> </w:t>
      </w:r>
      <w:proofErr w:type="spellStart"/>
      <w:r>
        <w:t>kot</w:t>
      </w:r>
      <w:proofErr w:type="spellEnd"/>
      <w:r>
        <w:t xml:space="preserve"> </w:t>
      </w:r>
      <w:proofErr w:type="spellStart"/>
      <w:r>
        <w:t>kontrolna</w:t>
      </w:r>
      <w:proofErr w:type="spellEnd"/>
      <w:r>
        <w:t xml:space="preserve"> </w:t>
      </w:r>
      <w:proofErr w:type="spellStart"/>
      <w:r>
        <w:t>referenca</w:t>
      </w:r>
      <w:proofErr w:type="spellEnd"/>
      <w:r>
        <w:t xml:space="preserve">. Letna proizvodnja je odvisna od vremena, obratovalne razpoložljivosti, senčenja, tehničnih izpadov in dejanske konfiguracije. Za kakovostno upravljanje je bolj primeren sklop kazalnikov, ki omogoča zgodnje </w:t>
      </w:r>
      <w:proofErr w:type="spellStart"/>
      <w:r>
        <w:t>odkrivanje</w:t>
      </w:r>
      <w:proofErr w:type="spellEnd"/>
      <w:r>
        <w:t xml:space="preserve"> </w:t>
      </w:r>
      <w:proofErr w:type="spellStart"/>
      <w:r>
        <w:t>odstopanj</w:t>
      </w:r>
      <w:proofErr w:type="spellEnd"/>
      <w:r>
        <w:t xml:space="preserve"> in </w:t>
      </w:r>
      <w:proofErr w:type="spellStart"/>
      <w:r>
        <w:t>odločanje</w:t>
      </w:r>
      <w:proofErr w:type="spellEnd"/>
      <w:r>
        <w:t xml:space="preserve"> o </w:t>
      </w:r>
      <w:proofErr w:type="spellStart"/>
      <w:r>
        <w:t>ukrepih</w:t>
      </w:r>
      <w:proofErr w:type="spellEnd"/>
      <w:r>
        <w:t>.</w:t>
      </w:r>
    </w:p>
    <w:tbl>
      <w:tblPr>
        <w:tblStyle w:val="Tabelamrea"/>
        <w:tblW w:w="0" w:type="auto"/>
        <w:tblLook w:val="04A0" w:firstRow="1" w:lastRow="0" w:firstColumn="1" w:lastColumn="0" w:noHBand="0" w:noVBand="1"/>
      </w:tblPr>
      <w:tblGrid>
        <w:gridCol w:w="2061"/>
        <w:gridCol w:w="2060"/>
        <w:gridCol w:w="2060"/>
        <w:gridCol w:w="2061"/>
        <w:gridCol w:w="2060"/>
      </w:tblGrid>
      <w:tr w:rsidR="00721834" w14:paraId="5DF5A390" w14:textId="77777777">
        <w:tc>
          <w:tcPr>
            <w:tcW w:w="2062" w:type="dxa"/>
            <w:shd w:val="clear" w:color="auto" w:fill="1F4E2F"/>
            <w:vAlign w:val="center"/>
          </w:tcPr>
          <w:p w14:paraId="7F57073D" w14:textId="77777777" w:rsidR="00721834" w:rsidRDefault="00855ADE">
            <w:r>
              <w:rPr>
                <w:b/>
                <w:color w:val="FFFFFF"/>
                <w:sz w:val="16"/>
              </w:rPr>
              <w:t>Kazalnik</w:t>
            </w:r>
          </w:p>
        </w:tc>
        <w:tc>
          <w:tcPr>
            <w:tcW w:w="2062" w:type="dxa"/>
            <w:shd w:val="clear" w:color="auto" w:fill="1F4E2F"/>
            <w:vAlign w:val="center"/>
          </w:tcPr>
          <w:p w14:paraId="48BDAE8A" w14:textId="77777777" w:rsidR="00721834" w:rsidRDefault="00855ADE">
            <w:r>
              <w:rPr>
                <w:b/>
                <w:color w:val="FFFFFF"/>
                <w:sz w:val="16"/>
              </w:rPr>
              <w:t>Izračun</w:t>
            </w:r>
          </w:p>
        </w:tc>
        <w:tc>
          <w:tcPr>
            <w:tcW w:w="2062" w:type="dxa"/>
            <w:shd w:val="clear" w:color="auto" w:fill="1F4E2F"/>
            <w:vAlign w:val="center"/>
          </w:tcPr>
          <w:p w14:paraId="2FDDB5E2" w14:textId="77777777" w:rsidR="00721834" w:rsidRDefault="00855ADE">
            <w:r>
              <w:rPr>
                <w:b/>
                <w:color w:val="FFFFFF"/>
                <w:sz w:val="16"/>
              </w:rPr>
              <w:t>Cilj uporabe</w:t>
            </w:r>
          </w:p>
        </w:tc>
        <w:tc>
          <w:tcPr>
            <w:tcW w:w="2062" w:type="dxa"/>
            <w:shd w:val="clear" w:color="auto" w:fill="1F4E2F"/>
            <w:vAlign w:val="center"/>
          </w:tcPr>
          <w:p w14:paraId="67975918" w14:textId="77777777" w:rsidR="00721834" w:rsidRDefault="00855ADE">
            <w:r>
              <w:rPr>
                <w:b/>
                <w:color w:val="FFFFFF"/>
                <w:sz w:val="16"/>
              </w:rPr>
              <w:t>Pogostost</w:t>
            </w:r>
          </w:p>
        </w:tc>
        <w:tc>
          <w:tcPr>
            <w:tcW w:w="2062" w:type="dxa"/>
            <w:shd w:val="clear" w:color="auto" w:fill="1F4E2F"/>
            <w:vAlign w:val="center"/>
          </w:tcPr>
          <w:p w14:paraId="3441DE30" w14:textId="77777777" w:rsidR="00721834" w:rsidRDefault="00855ADE">
            <w:r>
              <w:rPr>
                <w:b/>
                <w:color w:val="FFFFFF"/>
                <w:sz w:val="16"/>
              </w:rPr>
              <w:t>Opomba</w:t>
            </w:r>
          </w:p>
        </w:tc>
      </w:tr>
      <w:tr w:rsidR="00721834" w14:paraId="2AE8ABEA" w14:textId="77777777">
        <w:tc>
          <w:tcPr>
            <w:tcW w:w="2062" w:type="dxa"/>
            <w:vAlign w:val="center"/>
          </w:tcPr>
          <w:p w14:paraId="3390BA22" w14:textId="77777777" w:rsidR="00721834" w:rsidRDefault="00855ADE">
            <w:r>
              <w:rPr>
                <w:sz w:val="14"/>
              </w:rPr>
              <w:t>Specifični donos</w:t>
            </w:r>
          </w:p>
        </w:tc>
        <w:tc>
          <w:tcPr>
            <w:tcW w:w="2062" w:type="dxa"/>
            <w:vAlign w:val="center"/>
          </w:tcPr>
          <w:p w14:paraId="524176A1" w14:textId="77777777" w:rsidR="00721834" w:rsidRDefault="00855ADE">
            <w:r>
              <w:rPr>
                <w:sz w:val="14"/>
              </w:rPr>
              <w:t>kWh/kWp</w:t>
            </w:r>
          </w:p>
        </w:tc>
        <w:tc>
          <w:tcPr>
            <w:tcW w:w="2062" w:type="dxa"/>
            <w:vAlign w:val="center"/>
          </w:tcPr>
          <w:p w14:paraId="3470D4E2" w14:textId="77777777" w:rsidR="00721834" w:rsidRDefault="00855ADE">
            <w:r>
              <w:rPr>
                <w:sz w:val="14"/>
              </w:rPr>
              <w:t>primerjava med objekti</w:t>
            </w:r>
          </w:p>
        </w:tc>
        <w:tc>
          <w:tcPr>
            <w:tcW w:w="2062" w:type="dxa"/>
            <w:vAlign w:val="center"/>
          </w:tcPr>
          <w:p w14:paraId="67A3A622" w14:textId="77777777" w:rsidR="00721834" w:rsidRDefault="00855ADE">
            <w:r>
              <w:rPr>
                <w:sz w:val="14"/>
              </w:rPr>
              <w:t>mesečno/letno</w:t>
            </w:r>
          </w:p>
        </w:tc>
        <w:tc>
          <w:tcPr>
            <w:tcW w:w="2062" w:type="dxa"/>
            <w:vAlign w:val="center"/>
          </w:tcPr>
          <w:p w14:paraId="0C2963DC" w14:textId="77777777" w:rsidR="00721834" w:rsidRDefault="00855ADE">
            <w:r>
              <w:rPr>
                <w:sz w:val="14"/>
              </w:rPr>
              <w:t>najbolj uporaben osnovni KPI</w:t>
            </w:r>
          </w:p>
        </w:tc>
      </w:tr>
      <w:tr w:rsidR="00721834" w14:paraId="16C717D3" w14:textId="77777777">
        <w:tc>
          <w:tcPr>
            <w:tcW w:w="2062" w:type="dxa"/>
            <w:vAlign w:val="center"/>
          </w:tcPr>
          <w:p w14:paraId="3B18044E" w14:textId="77777777" w:rsidR="00721834" w:rsidRDefault="00855ADE">
            <w:r>
              <w:rPr>
                <w:sz w:val="14"/>
              </w:rPr>
              <w:t>Razpoložljivost</w:t>
            </w:r>
          </w:p>
        </w:tc>
        <w:tc>
          <w:tcPr>
            <w:tcW w:w="2062" w:type="dxa"/>
            <w:vAlign w:val="center"/>
          </w:tcPr>
          <w:p w14:paraId="2369E513" w14:textId="77777777" w:rsidR="00721834" w:rsidRDefault="00855ADE">
            <w:r>
              <w:rPr>
                <w:sz w:val="14"/>
              </w:rPr>
              <w:t>čas delovanja / čas obdobja</w:t>
            </w:r>
          </w:p>
        </w:tc>
        <w:tc>
          <w:tcPr>
            <w:tcW w:w="2062" w:type="dxa"/>
            <w:vAlign w:val="center"/>
          </w:tcPr>
          <w:p w14:paraId="3085E158" w14:textId="77777777" w:rsidR="00721834" w:rsidRDefault="00855ADE">
            <w:r>
              <w:rPr>
                <w:sz w:val="14"/>
              </w:rPr>
              <w:t>odkrivanje izpadov</w:t>
            </w:r>
          </w:p>
        </w:tc>
        <w:tc>
          <w:tcPr>
            <w:tcW w:w="2062" w:type="dxa"/>
            <w:vAlign w:val="center"/>
          </w:tcPr>
          <w:p w14:paraId="1B22C5D6" w14:textId="77777777" w:rsidR="00721834" w:rsidRDefault="00855ADE">
            <w:r>
              <w:rPr>
                <w:sz w:val="14"/>
              </w:rPr>
              <w:t>mesečno</w:t>
            </w:r>
          </w:p>
        </w:tc>
        <w:tc>
          <w:tcPr>
            <w:tcW w:w="2062" w:type="dxa"/>
            <w:vAlign w:val="center"/>
          </w:tcPr>
          <w:p w14:paraId="200C668E" w14:textId="77777777" w:rsidR="00721834" w:rsidRDefault="00855ADE">
            <w:r>
              <w:rPr>
                <w:sz w:val="14"/>
              </w:rPr>
              <w:t>cilj naj bo blizu 98-99 %, če so podatki na voljo</w:t>
            </w:r>
          </w:p>
        </w:tc>
      </w:tr>
      <w:tr w:rsidR="00721834" w14:paraId="4F8069A4" w14:textId="77777777">
        <w:tc>
          <w:tcPr>
            <w:tcW w:w="2062" w:type="dxa"/>
            <w:vAlign w:val="center"/>
          </w:tcPr>
          <w:p w14:paraId="6EE9C301" w14:textId="77777777" w:rsidR="00721834" w:rsidRDefault="00855ADE">
            <w:r>
              <w:rPr>
                <w:sz w:val="14"/>
              </w:rPr>
              <w:t>Lastna raba</w:t>
            </w:r>
          </w:p>
        </w:tc>
        <w:tc>
          <w:tcPr>
            <w:tcW w:w="2062" w:type="dxa"/>
            <w:vAlign w:val="center"/>
          </w:tcPr>
          <w:p w14:paraId="18EAF6E6" w14:textId="77777777" w:rsidR="00721834" w:rsidRDefault="00855ADE">
            <w:r>
              <w:rPr>
                <w:sz w:val="14"/>
              </w:rPr>
              <w:t>porabljeno iz SE / proizvodnja</w:t>
            </w:r>
          </w:p>
        </w:tc>
        <w:tc>
          <w:tcPr>
            <w:tcW w:w="2062" w:type="dxa"/>
            <w:vAlign w:val="center"/>
          </w:tcPr>
          <w:p w14:paraId="090EA103" w14:textId="77777777" w:rsidR="00721834" w:rsidRDefault="00855ADE">
            <w:r>
              <w:rPr>
                <w:sz w:val="14"/>
              </w:rPr>
              <w:t>zmanjšanje viškov</w:t>
            </w:r>
          </w:p>
        </w:tc>
        <w:tc>
          <w:tcPr>
            <w:tcW w:w="2062" w:type="dxa"/>
            <w:vAlign w:val="center"/>
          </w:tcPr>
          <w:p w14:paraId="1143A032" w14:textId="77777777" w:rsidR="00721834" w:rsidRDefault="00855ADE">
            <w:r>
              <w:rPr>
                <w:sz w:val="14"/>
              </w:rPr>
              <w:t>mesečno</w:t>
            </w:r>
          </w:p>
        </w:tc>
        <w:tc>
          <w:tcPr>
            <w:tcW w:w="2062" w:type="dxa"/>
            <w:vAlign w:val="center"/>
          </w:tcPr>
          <w:p w14:paraId="6A65692A" w14:textId="77777777" w:rsidR="00721834" w:rsidRDefault="00855ADE">
            <w:r>
              <w:rPr>
                <w:sz w:val="14"/>
              </w:rPr>
              <w:t>zlasti POŠ Vogrsko</w:t>
            </w:r>
          </w:p>
        </w:tc>
      </w:tr>
      <w:tr w:rsidR="00721834" w14:paraId="7FAB95B6" w14:textId="77777777">
        <w:tc>
          <w:tcPr>
            <w:tcW w:w="2062" w:type="dxa"/>
            <w:vAlign w:val="center"/>
          </w:tcPr>
          <w:p w14:paraId="0C619C50" w14:textId="77777777" w:rsidR="00721834" w:rsidRDefault="00855ADE">
            <w:r>
              <w:rPr>
                <w:sz w:val="14"/>
              </w:rPr>
              <w:t>Oddaja v omrežje</w:t>
            </w:r>
          </w:p>
        </w:tc>
        <w:tc>
          <w:tcPr>
            <w:tcW w:w="2062" w:type="dxa"/>
            <w:vAlign w:val="center"/>
          </w:tcPr>
          <w:p w14:paraId="17B6537A" w14:textId="77777777" w:rsidR="00721834" w:rsidRDefault="00855ADE">
            <w:r>
              <w:rPr>
                <w:sz w:val="14"/>
              </w:rPr>
              <w:t>kWh oddano</w:t>
            </w:r>
          </w:p>
        </w:tc>
        <w:tc>
          <w:tcPr>
            <w:tcW w:w="2062" w:type="dxa"/>
            <w:vAlign w:val="center"/>
          </w:tcPr>
          <w:p w14:paraId="48AD1B74" w14:textId="77777777" w:rsidR="00721834" w:rsidRDefault="00855ADE">
            <w:r>
              <w:rPr>
                <w:sz w:val="14"/>
              </w:rPr>
              <w:t>ocena neizkoriščene energije</w:t>
            </w:r>
          </w:p>
        </w:tc>
        <w:tc>
          <w:tcPr>
            <w:tcW w:w="2062" w:type="dxa"/>
            <w:vAlign w:val="center"/>
          </w:tcPr>
          <w:p w14:paraId="34030A75" w14:textId="77777777" w:rsidR="00721834" w:rsidRDefault="00855ADE">
            <w:r>
              <w:rPr>
                <w:sz w:val="14"/>
              </w:rPr>
              <w:t>mesečno</w:t>
            </w:r>
          </w:p>
        </w:tc>
        <w:tc>
          <w:tcPr>
            <w:tcW w:w="2062" w:type="dxa"/>
            <w:vAlign w:val="center"/>
          </w:tcPr>
          <w:p w14:paraId="73B4F1C2" w14:textId="77777777" w:rsidR="00721834" w:rsidRDefault="00855ADE">
            <w:r>
              <w:rPr>
                <w:sz w:val="14"/>
              </w:rPr>
              <w:t>vezano na obračunski model</w:t>
            </w:r>
          </w:p>
        </w:tc>
      </w:tr>
      <w:tr w:rsidR="00721834" w14:paraId="5BAAD914" w14:textId="77777777">
        <w:tc>
          <w:tcPr>
            <w:tcW w:w="2062" w:type="dxa"/>
            <w:vAlign w:val="center"/>
          </w:tcPr>
          <w:p w14:paraId="749B593B" w14:textId="77777777" w:rsidR="00721834" w:rsidRDefault="00855ADE">
            <w:r>
              <w:rPr>
                <w:sz w:val="14"/>
              </w:rPr>
              <w:t>Alarmi razsmernikov</w:t>
            </w:r>
          </w:p>
        </w:tc>
        <w:tc>
          <w:tcPr>
            <w:tcW w:w="2062" w:type="dxa"/>
            <w:vAlign w:val="center"/>
          </w:tcPr>
          <w:p w14:paraId="06BB1EDA" w14:textId="77777777" w:rsidR="00721834" w:rsidRDefault="00855ADE">
            <w:r>
              <w:rPr>
                <w:sz w:val="14"/>
              </w:rPr>
              <w:t>št. in trajanje alarmov</w:t>
            </w:r>
          </w:p>
        </w:tc>
        <w:tc>
          <w:tcPr>
            <w:tcW w:w="2062" w:type="dxa"/>
            <w:vAlign w:val="center"/>
          </w:tcPr>
          <w:p w14:paraId="539B52C2" w14:textId="77777777" w:rsidR="00721834" w:rsidRDefault="00855ADE">
            <w:r>
              <w:rPr>
                <w:sz w:val="14"/>
              </w:rPr>
              <w:t>preventivno vzdrževanje</w:t>
            </w:r>
          </w:p>
        </w:tc>
        <w:tc>
          <w:tcPr>
            <w:tcW w:w="2062" w:type="dxa"/>
            <w:vAlign w:val="center"/>
          </w:tcPr>
          <w:p w14:paraId="08C2B3D9" w14:textId="77777777" w:rsidR="00721834" w:rsidRDefault="00855ADE">
            <w:r>
              <w:rPr>
                <w:sz w:val="14"/>
              </w:rPr>
              <w:t>mesečno</w:t>
            </w:r>
          </w:p>
        </w:tc>
        <w:tc>
          <w:tcPr>
            <w:tcW w:w="2062" w:type="dxa"/>
            <w:vAlign w:val="center"/>
          </w:tcPr>
          <w:p w14:paraId="307A375E" w14:textId="77777777" w:rsidR="00721834" w:rsidRDefault="00855ADE">
            <w:r>
              <w:rPr>
                <w:sz w:val="14"/>
              </w:rPr>
              <w:t>posebej POŠ Bukovica</w:t>
            </w:r>
          </w:p>
        </w:tc>
      </w:tr>
      <w:tr w:rsidR="00721834" w14:paraId="4783260A" w14:textId="77777777">
        <w:tc>
          <w:tcPr>
            <w:tcW w:w="2062" w:type="dxa"/>
            <w:vAlign w:val="center"/>
          </w:tcPr>
          <w:p w14:paraId="4456BC7E" w14:textId="77777777" w:rsidR="00721834" w:rsidRDefault="00855ADE">
            <w:r>
              <w:rPr>
                <w:sz w:val="14"/>
              </w:rPr>
              <w:t>CO2 učinek</w:t>
            </w:r>
          </w:p>
        </w:tc>
        <w:tc>
          <w:tcPr>
            <w:tcW w:w="2062" w:type="dxa"/>
            <w:vAlign w:val="center"/>
          </w:tcPr>
          <w:p w14:paraId="4E89FAA6" w14:textId="77777777" w:rsidR="00721834" w:rsidRDefault="00855ADE">
            <w:r>
              <w:rPr>
                <w:sz w:val="14"/>
              </w:rPr>
              <w:t>kWh x faktor</w:t>
            </w:r>
          </w:p>
        </w:tc>
        <w:tc>
          <w:tcPr>
            <w:tcW w:w="2062" w:type="dxa"/>
            <w:vAlign w:val="center"/>
          </w:tcPr>
          <w:p w14:paraId="1E619A15" w14:textId="77777777" w:rsidR="00721834" w:rsidRDefault="00855ADE">
            <w:r>
              <w:rPr>
                <w:sz w:val="14"/>
              </w:rPr>
              <w:t>okoljsko poročanje</w:t>
            </w:r>
          </w:p>
        </w:tc>
        <w:tc>
          <w:tcPr>
            <w:tcW w:w="2062" w:type="dxa"/>
            <w:vAlign w:val="center"/>
          </w:tcPr>
          <w:p w14:paraId="2160E110" w14:textId="77777777" w:rsidR="00721834" w:rsidRDefault="00855ADE">
            <w:r>
              <w:rPr>
                <w:sz w:val="14"/>
              </w:rPr>
              <w:t>letno</w:t>
            </w:r>
          </w:p>
        </w:tc>
        <w:tc>
          <w:tcPr>
            <w:tcW w:w="2062" w:type="dxa"/>
            <w:vAlign w:val="center"/>
          </w:tcPr>
          <w:p w14:paraId="1CA6D697" w14:textId="77777777" w:rsidR="00721834" w:rsidRDefault="00855ADE">
            <w:r>
              <w:rPr>
                <w:sz w:val="14"/>
              </w:rPr>
              <w:t>uporabiti enoten faktor</w:t>
            </w:r>
          </w:p>
        </w:tc>
      </w:tr>
    </w:tbl>
    <w:p w14:paraId="0D57168B" w14:textId="77777777" w:rsidR="00721834" w:rsidRDefault="00855ADE">
      <w:pPr>
        <w:pStyle w:val="Naslov2"/>
      </w:pPr>
      <w:r>
        <w:rPr>
          <w:rFonts w:ascii="Arial" w:hAnsi="Arial"/>
        </w:rPr>
        <w:t>6.2 Kontrolna primerjava s projektiranimi vrednostmi</w:t>
      </w:r>
    </w:p>
    <w:p w14:paraId="61087BDB" w14:textId="77777777" w:rsidR="00721834" w:rsidRDefault="00855ADE">
      <w:r>
        <w:t>Ker ste želeli manj poudarka na planu, je primerjava prikazana kot kontrolni dodatek. Ne sme biti edini kriterij uspešnosti, je pa uporabna za identifikacijo objektov, kjer je treba izvesti tehnično preveritev.</w:t>
      </w:r>
    </w:p>
    <w:tbl>
      <w:tblPr>
        <w:tblStyle w:val="Tabelamrea"/>
        <w:tblW w:w="0" w:type="auto"/>
        <w:tblLook w:val="04A0" w:firstRow="1" w:lastRow="0" w:firstColumn="1" w:lastColumn="0" w:noHBand="0" w:noVBand="1"/>
      </w:tblPr>
      <w:tblGrid>
        <w:gridCol w:w="2061"/>
        <w:gridCol w:w="2060"/>
        <w:gridCol w:w="2060"/>
        <w:gridCol w:w="2060"/>
        <w:gridCol w:w="2061"/>
      </w:tblGrid>
      <w:tr w:rsidR="00721834" w14:paraId="1F34829A" w14:textId="77777777">
        <w:tc>
          <w:tcPr>
            <w:tcW w:w="2062" w:type="dxa"/>
            <w:shd w:val="clear" w:color="auto" w:fill="1F4E2F"/>
            <w:vAlign w:val="center"/>
          </w:tcPr>
          <w:p w14:paraId="1D846497" w14:textId="77777777" w:rsidR="00721834" w:rsidRDefault="00855ADE">
            <w:r>
              <w:rPr>
                <w:b/>
                <w:color w:val="FFFFFF"/>
                <w:sz w:val="16"/>
              </w:rPr>
              <w:t>Objekt</w:t>
            </w:r>
          </w:p>
        </w:tc>
        <w:tc>
          <w:tcPr>
            <w:tcW w:w="2062" w:type="dxa"/>
            <w:shd w:val="clear" w:color="auto" w:fill="1F4E2F"/>
            <w:vAlign w:val="center"/>
          </w:tcPr>
          <w:p w14:paraId="7B13BB23" w14:textId="77777777" w:rsidR="00721834" w:rsidRDefault="00855ADE">
            <w:r>
              <w:rPr>
                <w:b/>
                <w:color w:val="FFFFFF"/>
                <w:sz w:val="16"/>
              </w:rPr>
              <w:t>Proizvodnja (MWh)</w:t>
            </w:r>
          </w:p>
        </w:tc>
        <w:tc>
          <w:tcPr>
            <w:tcW w:w="2062" w:type="dxa"/>
            <w:shd w:val="clear" w:color="auto" w:fill="1F4E2F"/>
            <w:vAlign w:val="center"/>
          </w:tcPr>
          <w:p w14:paraId="3EFF1617" w14:textId="77777777" w:rsidR="00721834" w:rsidRDefault="00855ADE">
            <w:r>
              <w:rPr>
                <w:b/>
                <w:color w:val="FFFFFF"/>
                <w:sz w:val="16"/>
              </w:rPr>
              <w:t>Kontrolna projektirana vrednost (MWh)</w:t>
            </w:r>
          </w:p>
        </w:tc>
        <w:tc>
          <w:tcPr>
            <w:tcW w:w="2062" w:type="dxa"/>
            <w:shd w:val="clear" w:color="auto" w:fill="1F4E2F"/>
            <w:vAlign w:val="center"/>
          </w:tcPr>
          <w:p w14:paraId="5AFF4B3E" w14:textId="77777777" w:rsidR="00721834" w:rsidRDefault="00855ADE">
            <w:r>
              <w:rPr>
                <w:b/>
                <w:color w:val="FFFFFF"/>
                <w:sz w:val="16"/>
              </w:rPr>
              <w:t>Doseganje</w:t>
            </w:r>
          </w:p>
        </w:tc>
        <w:tc>
          <w:tcPr>
            <w:tcW w:w="2062" w:type="dxa"/>
            <w:shd w:val="clear" w:color="auto" w:fill="1F4E2F"/>
            <w:vAlign w:val="center"/>
          </w:tcPr>
          <w:p w14:paraId="0EF67007" w14:textId="77777777" w:rsidR="00721834" w:rsidRDefault="00855ADE">
            <w:r>
              <w:rPr>
                <w:b/>
                <w:color w:val="FFFFFF"/>
                <w:sz w:val="16"/>
              </w:rPr>
              <w:t>Interpretacija</w:t>
            </w:r>
          </w:p>
        </w:tc>
      </w:tr>
      <w:tr w:rsidR="00721834" w14:paraId="3DA92F0A" w14:textId="77777777">
        <w:tc>
          <w:tcPr>
            <w:tcW w:w="2062" w:type="dxa"/>
            <w:vAlign w:val="center"/>
          </w:tcPr>
          <w:p w14:paraId="3C83216A" w14:textId="77777777" w:rsidR="00721834" w:rsidRDefault="00855ADE">
            <w:r>
              <w:rPr>
                <w:sz w:val="16"/>
              </w:rPr>
              <w:t>POŠ Vogrsko</w:t>
            </w:r>
          </w:p>
        </w:tc>
        <w:tc>
          <w:tcPr>
            <w:tcW w:w="2062" w:type="dxa"/>
            <w:vAlign w:val="center"/>
          </w:tcPr>
          <w:p w14:paraId="0DA5C6B0" w14:textId="77777777" w:rsidR="00721834" w:rsidRDefault="00855ADE">
            <w:r>
              <w:rPr>
                <w:sz w:val="16"/>
              </w:rPr>
              <w:t>35,7</w:t>
            </w:r>
          </w:p>
        </w:tc>
        <w:tc>
          <w:tcPr>
            <w:tcW w:w="2062" w:type="dxa"/>
            <w:vAlign w:val="center"/>
          </w:tcPr>
          <w:p w14:paraId="2BC405FC" w14:textId="77777777" w:rsidR="00721834" w:rsidRDefault="00855ADE">
            <w:r>
              <w:rPr>
                <w:sz w:val="16"/>
              </w:rPr>
              <w:t>38,86</w:t>
            </w:r>
          </w:p>
        </w:tc>
        <w:tc>
          <w:tcPr>
            <w:tcW w:w="2062" w:type="dxa"/>
            <w:vAlign w:val="center"/>
          </w:tcPr>
          <w:p w14:paraId="1A26694B" w14:textId="77777777" w:rsidR="00721834" w:rsidRDefault="00855ADE">
            <w:r>
              <w:rPr>
                <w:sz w:val="16"/>
              </w:rPr>
              <w:t>91,9 %</w:t>
            </w:r>
          </w:p>
        </w:tc>
        <w:tc>
          <w:tcPr>
            <w:tcW w:w="2062" w:type="dxa"/>
            <w:vAlign w:val="center"/>
          </w:tcPr>
          <w:p w14:paraId="4EA2266E" w14:textId="77777777" w:rsidR="00721834" w:rsidRDefault="00855ADE">
            <w:r>
              <w:rPr>
                <w:sz w:val="16"/>
              </w:rPr>
              <w:t>brez večjih posebnosti</w:t>
            </w:r>
          </w:p>
        </w:tc>
      </w:tr>
      <w:tr w:rsidR="00721834" w14:paraId="0EA4825E" w14:textId="77777777">
        <w:tc>
          <w:tcPr>
            <w:tcW w:w="2062" w:type="dxa"/>
            <w:vAlign w:val="center"/>
          </w:tcPr>
          <w:p w14:paraId="1E7E6DBF" w14:textId="77777777" w:rsidR="00721834" w:rsidRDefault="00855ADE">
            <w:r>
              <w:rPr>
                <w:sz w:val="16"/>
              </w:rPr>
              <w:t>POŠ Bukovica</w:t>
            </w:r>
          </w:p>
        </w:tc>
        <w:tc>
          <w:tcPr>
            <w:tcW w:w="2062" w:type="dxa"/>
            <w:vAlign w:val="center"/>
          </w:tcPr>
          <w:p w14:paraId="73450D6D" w14:textId="77777777" w:rsidR="00721834" w:rsidRDefault="00855ADE">
            <w:r>
              <w:rPr>
                <w:sz w:val="16"/>
              </w:rPr>
              <w:t>37,3</w:t>
            </w:r>
          </w:p>
        </w:tc>
        <w:tc>
          <w:tcPr>
            <w:tcW w:w="2062" w:type="dxa"/>
            <w:vAlign w:val="center"/>
          </w:tcPr>
          <w:p w14:paraId="3B211505" w14:textId="77777777" w:rsidR="00721834" w:rsidRDefault="00855ADE">
            <w:r>
              <w:rPr>
                <w:sz w:val="16"/>
              </w:rPr>
              <w:t>64,01</w:t>
            </w:r>
          </w:p>
        </w:tc>
        <w:tc>
          <w:tcPr>
            <w:tcW w:w="2062" w:type="dxa"/>
            <w:vAlign w:val="center"/>
          </w:tcPr>
          <w:p w14:paraId="7F30358F" w14:textId="77777777" w:rsidR="00721834" w:rsidRDefault="00855ADE">
            <w:r>
              <w:rPr>
                <w:sz w:val="16"/>
              </w:rPr>
              <w:t>58,3 %</w:t>
            </w:r>
          </w:p>
        </w:tc>
        <w:tc>
          <w:tcPr>
            <w:tcW w:w="2062" w:type="dxa"/>
            <w:vAlign w:val="center"/>
          </w:tcPr>
          <w:p w14:paraId="7783997F" w14:textId="7D4DD6DD" w:rsidR="00721834" w:rsidRDefault="00855ADE">
            <w:proofErr w:type="spellStart"/>
            <w:r>
              <w:rPr>
                <w:sz w:val="16"/>
              </w:rPr>
              <w:t>potrebna</w:t>
            </w:r>
            <w:proofErr w:type="spellEnd"/>
            <w:r>
              <w:rPr>
                <w:sz w:val="16"/>
              </w:rPr>
              <w:t xml:space="preserve"> </w:t>
            </w:r>
            <w:proofErr w:type="spellStart"/>
            <w:r>
              <w:rPr>
                <w:sz w:val="16"/>
              </w:rPr>
              <w:t>tehnična</w:t>
            </w:r>
            <w:proofErr w:type="spellEnd"/>
            <w:r>
              <w:rPr>
                <w:sz w:val="16"/>
              </w:rPr>
              <w:t xml:space="preserve"> </w:t>
            </w:r>
            <w:proofErr w:type="spellStart"/>
            <w:r w:rsidR="00C5539B">
              <w:rPr>
                <w:sz w:val="16"/>
              </w:rPr>
              <w:t>presoja</w:t>
            </w:r>
            <w:proofErr w:type="spellEnd"/>
          </w:p>
        </w:tc>
      </w:tr>
      <w:tr w:rsidR="00721834" w14:paraId="1F28211F" w14:textId="77777777">
        <w:tc>
          <w:tcPr>
            <w:tcW w:w="2062" w:type="dxa"/>
            <w:vAlign w:val="center"/>
          </w:tcPr>
          <w:p w14:paraId="582A12E9" w14:textId="77777777" w:rsidR="00721834" w:rsidRDefault="00855ADE">
            <w:r>
              <w:rPr>
                <w:sz w:val="16"/>
              </w:rPr>
              <w:t>OŠ Renče</w:t>
            </w:r>
          </w:p>
        </w:tc>
        <w:tc>
          <w:tcPr>
            <w:tcW w:w="2062" w:type="dxa"/>
            <w:vAlign w:val="center"/>
          </w:tcPr>
          <w:p w14:paraId="6124486A" w14:textId="77777777" w:rsidR="00721834" w:rsidRDefault="00855ADE">
            <w:r>
              <w:rPr>
                <w:sz w:val="16"/>
              </w:rPr>
              <w:t>82,3</w:t>
            </w:r>
          </w:p>
        </w:tc>
        <w:tc>
          <w:tcPr>
            <w:tcW w:w="2062" w:type="dxa"/>
            <w:vAlign w:val="center"/>
          </w:tcPr>
          <w:p w14:paraId="47FAE732" w14:textId="77777777" w:rsidR="00721834" w:rsidRDefault="00855ADE">
            <w:r>
              <w:rPr>
                <w:sz w:val="16"/>
              </w:rPr>
              <w:t>99,94</w:t>
            </w:r>
          </w:p>
        </w:tc>
        <w:tc>
          <w:tcPr>
            <w:tcW w:w="2062" w:type="dxa"/>
            <w:vAlign w:val="center"/>
          </w:tcPr>
          <w:p w14:paraId="7F843716" w14:textId="77777777" w:rsidR="00721834" w:rsidRDefault="00855ADE">
            <w:r>
              <w:rPr>
                <w:sz w:val="16"/>
              </w:rPr>
              <w:t>82,3 %</w:t>
            </w:r>
          </w:p>
        </w:tc>
        <w:tc>
          <w:tcPr>
            <w:tcW w:w="2062" w:type="dxa"/>
            <w:vAlign w:val="center"/>
          </w:tcPr>
          <w:p w14:paraId="0E42439A" w14:textId="77777777" w:rsidR="00721834" w:rsidRDefault="00855ADE">
            <w:r>
              <w:rPr>
                <w:sz w:val="16"/>
              </w:rPr>
              <w:t>sprejemljivo, preveriti po polnem letu</w:t>
            </w:r>
          </w:p>
        </w:tc>
      </w:tr>
    </w:tbl>
    <w:p w14:paraId="618B6240" w14:textId="77777777" w:rsidR="00721834" w:rsidRDefault="00855ADE">
      <w:r>
        <w:t>Skupna preračunana letna proizvodnja v izhodiščnem gradivu znaša 169,43 MWh, kontrolna skupna vrednost pa 202,81 MWh. Razlika 33,38 MWh oziroma 16,5 % je koristna kot opozorilo, vendar je za ukrepanje pomembnejša razčlenitev po objektih: glavni vir odstopanja je POŠ Bukovica.</w:t>
      </w:r>
    </w:p>
    <w:p w14:paraId="350B77D3" w14:textId="582D052F" w:rsidR="00721834" w:rsidRDefault="00C5539B">
      <w:pPr>
        <w:pStyle w:val="Naslov1"/>
      </w:pPr>
      <w:r>
        <w:rPr>
          <w:rFonts w:ascii="Arial" w:hAnsi="Arial"/>
        </w:rPr>
        <w:t>7</w:t>
      </w:r>
      <w:r w:rsidR="00855ADE">
        <w:rPr>
          <w:rFonts w:ascii="Arial" w:hAnsi="Arial"/>
        </w:rPr>
        <w:t>. Viri, omejitve in opombe</w:t>
      </w:r>
    </w:p>
    <w:p w14:paraId="1400BAEA" w14:textId="77777777" w:rsidR="00721834" w:rsidRDefault="00855ADE">
      <w:pPr>
        <w:pStyle w:val="Oznaenseznam"/>
      </w:pPr>
      <w:r>
        <w:t>Izhodiščno poročilo: »sončne delovanje 2025-2026 - popravljeno JM 21.4.26.docx«.</w:t>
      </w:r>
    </w:p>
    <w:p w14:paraId="7B0F4DA4" w14:textId="77777777" w:rsidR="00721834" w:rsidRDefault="00855ADE">
      <w:pPr>
        <w:pStyle w:val="Oznaenseznam"/>
      </w:pPr>
      <w:r>
        <w:t>SolarEdge: podatki o proizvodnji v obdobju 3. 5. 2025-9. 4. 2026.</w:t>
      </w:r>
    </w:p>
    <w:p w14:paraId="152273FB" w14:textId="77777777" w:rsidR="00721834" w:rsidRDefault="00855ADE">
      <w:pPr>
        <w:pStyle w:val="Oznaenseznam"/>
      </w:pPr>
      <w:r>
        <w:t>Fakture za električno energijo: podatki o prevzemu iz omrežja in oddaji v omrežje.</w:t>
      </w:r>
    </w:p>
    <w:p w14:paraId="65C83122" w14:textId="77777777" w:rsidR="00721834" w:rsidRDefault="00855ADE">
      <w:pPr>
        <w:pStyle w:val="Oznaenseznam"/>
      </w:pPr>
      <w:r>
        <w:t>PZI elektro instalacij in vloga za nepovratna sredstva NOO SE OVE 2024: kontrolne projektirane vrednosti.</w:t>
      </w:r>
    </w:p>
    <w:p w14:paraId="63028864" w14:textId="1C539541" w:rsidR="00721834" w:rsidRDefault="00721834" w:rsidP="00C5539B">
      <w:pPr>
        <w:pStyle w:val="Oznaenseznam"/>
        <w:numPr>
          <w:ilvl w:val="0"/>
          <w:numId w:val="0"/>
        </w:numPr>
        <w:ind w:left="360"/>
      </w:pPr>
    </w:p>
    <w:sectPr w:rsidR="00721834" w:rsidSect="00034616">
      <w:headerReference w:type="default" r:id="rId14"/>
      <w:footerReference w:type="default" r:id="rId15"/>
      <w:pgSz w:w="12240" w:h="15840"/>
      <w:pgMar w:top="907" w:right="964" w:bottom="85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A488" w14:textId="77777777" w:rsidR="00BC5F87" w:rsidRDefault="00BC5F87">
      <w:pPr>
        <w:spacing w:after="0" w:line="240" w:lineRule="auto"/>
      </w:pPr>
      <w:r>
        <w:separator/>
      </w:r>
    </w:p>
  </w:endnote>
  <w:endnote w:type="continuationSeparator" w:id="0">
    <w:p w14:paraId="2244B1A0" w14:textId="77777777" w:rsidR="00BC5F87" w:rsidRDefault="00BC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6E61" w14:textId="77777777" w:rsidR="00721834" w:rsidRDefault="00855ADE">
    <w:pPr>
      <w:pStyle w:val="Noga"/>
      <w:jc w:val="center"/>
    </w:pPr>
    <w:proofErr w:type="spellStart"/>
    <w:r>
      <w:rPr>
        <w:sz w:val="16"/>
      </w:rPr>
      <w:t>Delovno</w:t>
    </w:r>
    <w:proofErr w:type="spellEnd"/>
    <w:r>
      <w:rPr>
        <w:sz w:val="16"/>
      </w:rPr>
      <w:t xml:space="preserve"> </w:t>
    </w:r>
    <w:proofErr w:type="spellStart"/>
    <w:r>
      <w:rPr>
        <w:sz w:val="16"/>
      </w:rPr>
      <w:t>gradivo</w:t>
    </w:r>
    <w:proofErr w:type="spellEnd"/>
    <w:r>
      <w:rPr>
        <w:sz w:val="16"/>
      </w:rPr>
      <w:t xml:space="preserve"> za </w:t>
    </w:r>
    <w:proofErr w:type="spellStart"/>
    <w:r>
      <w:rPr>
        <w:sz w:val="16"/>
      </w:rPr>
      <w:t>občinski</w:t>
    </w:r>
    <w:proofErr w:type="spellEnd"/>
    <w:r>
      <w:rPr>
        <w:sz w:val="16"/>
      </w:rPr>
      <w:t xml:space="preserve"> </w:t>
    </w:r>
    <w:proofErr w:type="spellStart"/>
    <w:r>
      <w:rPr>
        <w:sz w:val="16"/>
      </w:rPr>
      <w:t>svet</w:t>
    </w:r>
    <w:proofErr w:type="spellEnd"/>
    <w:r>
      <w:rPr>
        <w:sz w:val="16"/>
      </w:rPr>
      <w:t xml:space="preserve"> - </w:t>
    </w:r>
    <w:proofErr w:type="spellStart"/>
    <w:r>
      <w:rPr>
        <w:sz w:val="16"/>
      </w:rPr>
      <w:t>pripravljeno</w:t>
    </w:r>
    <w:proofErr w:type="spellEnd"/>
    <w:r>
      <w:rPr>
        <w:sz w:val="16"/>
      </w:rPr>
      <w:t xml:space="preserve"> na </w:t>
    </w:r>
    <w:proofErr w:type="spellStart"/>
    <w:r>
      <w:rPr>
        <w:sz w:val="16"/>
      </w:rPr>
      <w:t>podlagi</w:t>
    </w:r>
    <w:proofErr w:type="spellEnd"/>
    <w:r>
      <w:rPr>
        <w:sz w:val="16"/>
      </w:rPr>
      <w:t xml:space="preserve"> </w:t>
    </w:r>
    <w:proofErr w:type="spellStart"/>
    <w:r>
      <w:rPr>
        <w:sz w:val="16"/>
      </w:rPr>
      <w:t>podatkov</w:t>
    </w:r>
    <w:proofErr w:type="spellEnd"/>
    <w:r>
      <w:rPr>
        <w:sz w:val="16"/>
      </w:rPr>
      <w:t xml:space="preserve"> SolarEdge, </w:t>
    </w:r>
    <w:proofErr w:type="spellStart"/>
    <w:r>
      <w:rPr>
        <w:sz w:val="16"/>
      </w:rPr>
      <w:t>faktur</w:t>
    </w:r>
    <w:proofErr w:type="spellEnd"/>
    <w:r>
      <w:rPr>
        <w:sz w:val="16"/>
      </w:rPr>
      <w:t xml:space="preserve"> in </w:t>
    </w:r>
    <w:proofErr w:type="spellStart"/>
    <w:r>
      <w:rPr>
        <w:sz w:val="16"/>
      </w:rPr>
      <w:t>gradiva</w:t>
    </w:r>
    <w:proofErr w:type="spellEnd"/>
    <w:r>
      <w:rPr>
        <w:sz w:val="16"/>
      </w:rPr>
      <w:t xml:space="preserve"> GOLEA/PZI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ACC2" w14:textId="77777777" w:rsidR="00BC5F87" w:rsidRDefault="00BC5F87">
      <w:pPr>
        <w:spacing w:after="0" w:line="240" w:lineRule="auto"/>
      </w:pPr>
      <w:r>
        <w:separator/>
      </w:r>
    </w:p>
  </w:footnote>
  <w:footnote w:type="continuationSeparator" w:id="0">
    <w:p w14:paraId="44BECBC5" w14:textId="77777777" w:rsidR="00BC5F87" w:rsidRDefault="00BC5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E87A" w14:textId="77777777" w:rsidR="00721834" w:rsidRDefault="00721834">
    <w:pPr>
      <w:pStyle w:val="Glava"/>
    </w:pPr>
  </w:p>
  <w:tbl>
    <w:tblPr>
      <w:tblW w:w="0" w:type="auto"/>
      <w:jc w:val="center"/>
      <w:tblLook w:val="04A0" w:firstRow="1" w:lastRow="0" w:firstColumn="1" w:lastColumn="0" w:noHBand="0" w:noVBand="1"/>
    </w:tblPr>
    <w:tblGrid>
      <w:gridCol w:w="4961"/>
      <w:gridCol w:w="4961"/>
    </w:tblGrid>
    <w:tr w:rsidR="00721834" w14:paraId="7FB92E91" w14:textId="77777777">
      <w:trPr>
        <w:jc w:val="center"/>
      </w:trPr>
      <w:tc>
        <w:tcPr>
          <w:tcW w:w="4961" w:type="dxa"/>
        </w:tcPr>
        <w:p w14:paraId="49DF345C" w14:textId="77777777" w:rsidR="00721834" w:rsidRDefault="00855ADE">
          <w:r>
            <w:rPr>
              <w:noProof/>
            </w:rPr>
            <w:drawing>
              <wp:inline distT="0" distB="0" distL="0" distR="0" wp14:anchorId="6F717525" wp14:editId="6EA80633">
                <wp:extent cx="396000" cy="533808"/>
                <wp:effectExtent l="0" t="0" r="0" b="0"/>
                <wp:docPr id="2007265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_rence_vogrsko.png"/>
                        <pic:cNvPicPr/>
                      </pic:nvPicPr>
                      <pic:blipFill>
                        <a:blip r:embed="rId1"/>
                        <a:stretch>
                          <a:fillRect/>
                        </a:stretch>
                      </pic:blipFill>
                      <pic:spPr>
                        <a:xfrm>
                          <a:off x="0" y="0"/>
                          <a:ext cx="396000" cy="533808"/>
                        </a:xfrm>
                        <a:prstGeom prst="rect">
                          <a:avLst/>
                        </a:prstGeom>
                      </pic:spPr>
                    </pic:pic>
                  </a:graphicData>
                </a:graphic>
              </wp:inline>
            </w:drawing>
          </w:r>
        </w:p>
      </w:tc>
      <w:tc>
        <w:tcPr>
          <w:tcW w:w="4961" w:type="dxa"/>
        </w:tcPr>
        <w:p w14:paraId="12E8956D" w14:textId="77777777" w:rsidR="00721834" w:rsidRDefault="00855ADE">
          <w:pPr>
            <w:jc w:val="right"/>
          </w:pPr>
          <w:r>
            <w:rPr>
              <w:sz w:val="16"/>
            </w:rPr>
            <w:t xml:space="preserve">Občina Renče-Vogrsko | </w:t>
          </w:r>
          <w:proofErr w:type="spellStart"/>
          <w:r>
            <w:rPr>
              <w:sz w:val="16"/>
            </w:rPr>
            <w:t>Poročilo</w:t>
          </w:r>
          <w:proofErr w:type="spellEnd"/>
          <w:r>
            <w:rPr>
              <w:sz w:val="16"/>
            </w:rPr>
            <w:t xml:space="preserve"> o </w:t>
          </w:r>
          <w:proofErr w:type="spellStart"/>
          <w:r>
            <w:rPr>
              <w:sz w:val="16"/>
            </w:rPr>
            <w:t>delovanju</w:t>
          </w:r>
          <w:proofErr w:type="spellEnd"/>
          <w:r>
            <w:rPr>
              <w:sz w:val="16"/>
            </w:rPr>
            <w:t xml:space="preserve"> </w:t>
          </w:r>
          <w:proofErr w:type="spellStart"/>
          <w:r>
            <w:rPr>
              <w:sz w:val="16"/>
            </w:rPr>
            <w:t>sončnih</w:t>
          </w:r>
          <w:proofErr w:type="spellEnd"/>
          <w:r>
            <w:rPr>
              <w:sz w:val="16"/>
            </w:rPr>
            <w:t xml:space="preserve"> </w:t>
          </w:r>
          <w:proofErr w:type="spellStart"/>
          <w:r>
            <w:rPr>
              <w:sz w:val="16"/>
            </w:rPr>
            <w:t>elektrarn</w:t>
          </w:r>
          <w:proofErr w:type="spellEnd"/>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num w:numId="1" w16cid:durableId="1709531595">
    <w:abstractNumId w:val="8"/>
  </w:num>
  <w:num w:numId="2" w16cid:durableId="24260861">
    <w:abstractNumId w:val="6"/>
  </w:num>
  <w:num w:numId="3" w16cid:durableId="1459958141">
    <w:abstractNumId w:val="5"/>
  </w:num>
  <w:num w:numId="4" w16cid:durableId="902181702">
    <w:abstractNumId w:val="4"/>
  </w:num>
  <w:num w:numId="5" w16cid:durableId="2044746471">
    <w:abstractNumId w:val="7"/>
  </w:num>
  <w:num w:numId="6" w16cid:durableId="877426473">
    <w:abstractNumId w:val="3"/>
  </w:num>
  <w:num w:numId="7" w16cid:durableId="1641420517">
    <w:abstractNumId w:val="2"/>
  </w:num>
  <w:num w:numId="8" w16cid:durableId="210969348">
    <w:abstractNumId w:val="1"/>
  </w:num>
  <w:num w:numId="9" w16cid:durableId="76665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E68"/>
    <w:rsid w:val="00326F90"/>
    <w:rsid w:val="003911BB"/>
    <w:rsid w:val="00721834"/>
    <w:rsid w:val="00855ADE"/>
    <w:rsid w:val="008741E3"/>
    <w:rsid w:val="00AA1D8D"/>
    <w:rsid w:val="00B47730"/>
    <w:rsid w:val="00BC5F87"/>
    <w:rsid w:val="00C5539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298C5"/>
  <w14:defaultImageDpi w14:val="300"/>
  <w15:docId w15:val="{BA18E5AB-42B6-418A-BC19-270E6D76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693F"/>
    <w:rPr>
      <w:rFonts w:ascii="Arial" w:hAnsi="Arial"/>
      <w:sz w:val="20"/>
    </w:rPr>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1F4E2F"/>
      <w:sz w:val="34"/>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2F6D8F"/>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5"/>
      </w:numPr>
      <w:contextualSpacing/>
    </w:pPr>
  </w:style>
  <w:style w:type="paragraph" w:styleId="Otevilenseznam2">
    <w:name w:val="List Number 2"/>
    <w:basedOn w:val="Navaden"/>
    <w:uiPriority w:val="99"/>
    <w:unhideWhenUsed/>
    <w:rsid w:val="0029639D"/>
    <w:pPr>
      <w:numPr>
        <w:numId w:val="6"/>
      </w:numPr>
      <w:contextualSpacing/>
    </w:pPr>
  </w:style>
  <w:style w:type="paragraph" w:styleId="Otevilenseznam3">
    <w:name w:val="List Number 3"/>
    <w:basedOn w:val="Navaden"/>
    <w:uiPriority w:val="99"/>
    <w:unhideWhenUsed/>
    <w:rsid w:val="0029639D"/>
    <w:pPr>
      <w:numPr>
        <w:numId w:val="7"/>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semiHidden/>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1424</Words>
  <Characters>8117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Beti Čufer</cp:lastModifiedBy>
  <cp:revision>2</cp:revision>
  <dcterms:created xsi:type="dcterms:W3CDTF">2026-06-16T08:11:00Z</dcterms:created>
  <dcterms:modified xsi:type="dcterms:W3CDTF">2026-06-16T08:11:00Z</dcterms:modified>
  <cp:category/>
</cp:coreProperties>
</file>